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28E8B2" w14:textId="337266C5" w:rsidR="000F399E" w:rsidRDefault="000F399E" w:rsidP="006346EC">
      <w:pPr>
        <w:pStyle w:val="Heading1"/>
        <w:spacing w:before="0" w:after="0"/>
        <w:rPr>
          <w:rFonts w:ascii="Arial" w:hAnsi="Arial" w:cs="Arial"/>
          <w:color w:val="000000" w:themeColor="text1"/>
          <w:sz w:val="28"/>
          <w:szCs w:val="28"/>
        </w:rPr>
      </w:pPr>
      <w:r w:rsidRPr="006346EC">
        <w:rPr>
          <w:rFonts w:ascii="Arial" w:hAnsi="Arial" w:cs="Arial"/>
          <w:color w:val="000000" w:themeColor="text1"/>
          <w:sz w:val="28"/>
          <w:szCs w:val="28"/>
        </w:rPr>
        <w:t xml:space="preserve">Facilities and Other Resources – The Ohio State University </w:t>
      </w:r>
    </w:p>
    <w:p w14:paraId="70ED4046" w14:textId="77777777" w:rsidR="00456E85" w:rsidRPr="00456E85" w:rsidRDefault="00456E85" w:rsidP="00456E85"/>
    <w:p w14:paraId="080E0D86" w14:textId="77777777" w:rsidR="00596DA1" w:rsidRPr="006346EC" w:rsidRDefault="00596DA1" w:rsidP="006346EC">
      <w:pPr>
        <w:ind w:left="720"/>
        <w:jc w:val="both"/>
        <w:rPr>
          <w:rFonts w:ascii="Arial" w:hAnsi="Arial" w:cs="Arial"/>
          <w:b/>
          <w:sz w:val="22"/>
          <w:szCs w:val="22"/>
        </w:rPr>
      </w:pPr>
      <w:r w:rsidRPr="006346EC">
        <w:rPr>
          <w:rFonts w:ascii="Arial" w:hAnsi="Arial" w:cs="Arial"/>
          <w:b/>
          <w:sz w:val="22"/>
          <w:szCs w:val="22"/>
        </w:rPr>
        <w:t>Instructions</w:t>
      </w:r>
    </w:p>
    <w:p w14:paraId="1E2978B1" w14:textId="359F4E09" w:rsidR="00596DA1" w:rsidRPr="006346EC" w:rsidRDefault="00596DA1" w:rsidP="006346EC">
      <w:pPr>
        <w:pStyle w:val="ListParagraph"/>
        <w:numPr>
          <w:ilvl w:val="0"/>
          <w:numId w:val="13"/>
        </w:numPr>
        <w:jc w:val="both"/>
        <w:rPr>
          <w:rFonts w:ascii="Arial" w:hAnsi="Arial" w:cs="Arial"/>
          <w:bCs/>
          <w:sz w:val="22"/>
          <w:szCs w:val="22"/>
        </w:rPr>
      </w:pPr>
      <w:r w:rsidRPr="006346EC">
        <w:rPr>
          <w:rFonts w:ascii="Arial" w:hAnsi="Arial" w:cs="Arial"/>
          <w:bCs/>
          <w:sz w:val="22"/>
          <w:szCs w:val="22"/>
        </w:rPr>
        <w:t xml:space="preserve">Personalize the content below specific to your proposal by including colleges, institutions, cores and/or programs you collaborated with (if applicable) and deleting any that do not pertain to your project. </w:t>
      </w:r>
    </w:p>
    <w:p w14:paraId="3807DBD1" w14:textId="77777777" w:rsidR="00596DA1" w:rsidRPr="006346EC" w:rsidRDefault="00596DA1" w:rsidP="006346EC">
      <w:pPr>
        <w:pStyle w:val="ListParagraph"/>
        <w:numPr>
          <w:ilvl w:val="0"/>
          <w:numId w:val="13"/>
        </w:numPr>
        <w:jc w:val="both"/>
        <w:rPr>
          <w:rFonts w:ascii="Arial" w:hAnsi="Arial" w:cs="Arial"/>
          <w:bCs/>
          <w:sz w:val="22"/>
          <w:szCs w:val="22"/>
        </w:rPr>
      </w:pPr>
      <w:r w:rsidRPr="006346EC">
        <w:rPr>
          <w:rFonts w:ascii="Arial" w:hAnsi="Arial" w:cs="Arial"/>
          <w:bCs/>
          <w:sz w:val="22"/>
          <w:szCs w:val="22"/>
        </w:rPr>
        <w:t>Delete information that does not pertain to your project (e.g., specific clinical sites).</w:t>
      </w:r>
    </w:p>
    <w:p w14:paraId="2088BFA3" w14:textId="77777777" w:rsidR="00596DA1" w:rsidRPr="006346EC" w:rsidRDefault="00596DA1" w:rsidP="006346EC">
      <w:pPr>
        <w:pStyle w:val="ListParagraph"/>
        <w:numPr>
          <w:ilvl w:val="0"/>
          <w:numId w:val="13"/>
        </w:numPr>
        <w:jc w:val="both"/>
        <w:rPr>
          <w:rFonts w:ascii="Arial" w:hAnsi="Arial" w:cs="Arial"/>
          <w:bCs/>
          <w:sz w:val="22"/>
          <w:szCs w:val="22"/>
        </w:rPr>
      </w:pPr>
      <w:r w:rsidRPr="006346EC">
        <w:rPr>
          <w:rFonts w:ascii="Arial" w:hAnsi="Arial" w:cs="Arial"/>
          <w:bCs/>
          <w:sz w:val="22"/>
          <w:szCs w:val="22"/>
        </w:rPr>
        <w:t>Delete instructions.</w:t>
      </w:r>
    </w:p>
    <w:p w14:paraId="2509E7CB" w14:textId="2022E9B4" w:rsidR="00596DA1" w:rsidRPr="006346EC" w:rsidRDefault="00596DA1" w:rsidP="006346EC">
      <w:pPr>
        <w:pStyle w:val="ListParagraph"/>
        <w:numPr>
          <w:ilvl w:val="0"/>
          <w:numId w:val="13"/>
        </w:numPr>
        <w:jc w:val="both"/>
        <w:rPr>
          <w:rFonts w:ascii="Arial" w:hAnsi="Arial" w:cs="Arial"/>
          <w:bCs/>
          <w:sz w:val="22"/>
          <w:szCs w:val="22"/>
        </w:rPr>
      </w:pPr>
      <w:r w:rsidRPr="006346EC">
        <w:rPr>
          <w:rFonts w:ascii="Arial" w:hAnsi="Arial" w:cs="Arial"/>
          <w:bCs/>
          <w:sz w:val="22"/>
          <w:szCs w:val="22"/>
        </w:rPr>
        <w:t xml:space="preserve">To </w:t>
      </w:r>
      <w:r w:rsidRPr="006346EC">
        <w:rPr>
          <w:rFonts w:ascii="Arial" w:hAnsi="Arial" w:cs="Arial"/>
          <w:sz w:val="22"/>
          <w:szCs w:val="22"/>
        </w:rPr>
        <w:t xml:space="preserve">obtain budget to include with the grant application, please </w:t>
      </w:r>
      <w:hyperlink r:id="rId6" w:history="1">
        <w:r w:rsidRPr="006346EC">
          <w:rPr>
            <w:rStyle w:val="Hyperlink"/>
            <w:rFonts w:ascii="Arial" w:hAnsi="Arial" w:cs="Arial"/>
            <w:color w:val="4472C4"/>
            <w:sz w:val="22"/>
            <w:szCs w:val="22"/>
          </w:rPr>
          <w:t>submit a request</w:t>
        </w:r>
      </w:hyperlink>
      <w:r w:rsidRPr="006346EC">
        <w:rPr>
          <w:rStyle w:val="Hyperlink"/>
          <w:rFonts w:ascii="Arial" w:hAnsi="Arial" w:cs="Arial"/>
          <w:color w:val="4472C4"/>
          <w:sz w:val="22"/>
          <w:szCs w:val="22"/>
        </w:rPr>
        <w:t xml:space="preserve"> </w:t>
      </w:r>
      <w:r w:rsidRPr="006346EC">
        <w:rPr>
          <w:rStyle w:val="Hyperlink"/>
          <w:rFonts w:ascii="Arial" w:hAnsi="Arial" w:cs="Arial"/>
          <w:color w:val="C00000"/>
          <w:sz w:val="22"/>
          <w:szCs w:val="22"/>
        </w:rPr>
        <w:t>[external link].</w:t>
      </w:r>
    </w:p>
    <w:p w14:paraId="2E73C5F6" w14:textId="7E6FE7B7" w:rsidR="000F399E" w:rsidRPr="006346EC" w:rsidRDefault="00596DA1" w:rsidP="006346EC">
      <w:pPr>
        <w:rPr>
          <w:rFonts w:ascii="Arial" w:hAnsi="Arial" w:cs="Arial"/>
          <w:sz w:val="22"/>
          <w:szCs w:val="22"/>
        </w:rPr>
      </w:pPr>
      <w:r w:rsidRPr="006346EC">
        <w:rPr>
          <w:rFonts w:ascii="Arial" w:hAnsi="Arial" w:cs="Arial"/>
          <w:sz w:val="22"/>
          <w:szCs w:val="22"/>
        </w:rPr>
        <w:t>-----------------------------------------------------------------------------------------</w:t>
      </w:r>
    </w:p>
    <w:p w14:paraId="04801195" w14:textId="77777777" w:rsidR="00596DA1" w:rsidRPr="006346EC" w:rsidRDefault="00596DA1" w:rsidP="006346EC">
      <w:pPr>
        <w:rPr>
          <w:rFonts w:ascii="Arial" w:hAnsi="Arial" w:cs="Arial"/>
          <w:b/>
          <w:bCs/>
          <w:sz w:val="22"/>
          <w:szCs w:val="22"/>
          <w:u w:val="single"/>
        </w:rPr>
      </w:pPr>
    </w:p>
    <w:p w14:paraId="39A3A8BD" w14:textId="1D671CE4" w:rsidR="00596DA1" w:rsidRPr="006346EC" w:rsidRDefault="00596DA1" w:rsidP="006346EC">
      <w:pPr>
        <w:rPr>
          <w:rFonts w:ascii="Arial" w:hAnsi="Arial" w:cs="Arial"/>
          <w:b/>
          <w:bCs/>
          <w:color w:val="000000" w:themeColor="text1"/>
          <w:sz w:val="22"/>
          <w:szCs w:val="22"/>
          <w:u w:val="single"/>
        </w:rPr>
      </w:pPr>
      <w:r w:rsidRPr="006346EC">
        <w:rPr>
          <w:rFonts w:ascii="Arial" w:hAnsi="Arial" w:cs="Arial"/>
          <w:b/>
          <w:bCs/>
          <w:color w:val="000000" w:themeColor="text1"/>
          <w:sz w:val="22"/>
          <w:szCs w:val="22"/>
          <w:u w:val="single"/>
        </w:rPr>
        <w:t>The Ohio State University Clinical and Translational Science Institute (CTSI)</w:t>
      </w:r>
    </w:p>
    <w:p w14:paraId="2A7E4B48" w14:textId="766C73CE" w:rsidR="000F399E" w:rsidRPr="006346EC" w:rsidRDefault="000F399E" w:rsidP="006346EC">
      <w:pPr>
        <w:rPr>
          <w:rFonts w:ascii="Arial" w:hAnsi="Arial" w:cs="Arial"/>
          <w:color w:val="000000" w:themeColor="text1"/>
          <w:sz w:val="22"/>
          <w:szCs w:val="22"/>
        </w:rPr>
      </w:pPr>
      <w:r w:rsidRPr="006346EC">
        <w:rPr>
          <w:rFonts w:ascii="Arial" w:hAnsi="Arial" w:cs="Arial"/>
          <w:color w:val="000000" w:themeColor="text1"/>
          <w:sz w:val="22"/>
          <w:szCs w:val="22"/>
        </w:rPr>
        <w:t>The Ohio State University Clinical and Translational Science Institute (CTSI) is a collaboration between The Ohio State University, The Ohio State University Wexner Medical Center and Nationwide Children's Hospital dedicated to advancing today’s discoveries to improve health for all. </w:t>
      </w:r>
    </w:p>
    <w:p w14:paraId="4A1AC5A0" w14:textId="77777777" w:rsidR="000F399E" w:rsidRPr="006346EC" w:rsidRDefault="000F399E" w:rsidP="006346EC">
      <w:pPr>
        <w:rPr>
          <w:rFonts w:ascii="Arial" w:hAnsi="Arial" w:cs="Arial"/>
          <w:color w:val="000000" w:themeColor="text1"/>
          <w:sz w:val="22"/>
          <w:szCs w:val="22"/>
        </w:rPr>
      </w:pPr>
    </w:p>
    <w:p w14:paraId="001C5502" w14:textId="77777777" w:rsidR="000F399E" w:rsidRPr="006346EC" w:rsidRDefault="000F399E" w:rsidP="006346EC">
      <w:pPr>
        <w:rPr>
          <w:rFonts w:ascii="Arial" w:hAnsi="Arial" w:cs="Arial"/>
          <w:color w:val="000000" w:themeColor="text1"/>
          <w:sz w:val="22"/>
          <w:szCs w:val="22"/>
        </w:rPr>
      </w:pPr>
      <w:r w:rsidRPr="006346EC">
        <w:rPr>
          <w:rFonts w:ascii="Arial" w:hAnsi="Arial" w:cs="Arial"/>
          <w:color w:val="000000" w:themeColor="text1"/>
          <w:sz w:val="22"/>
          <w:szCs w:val="22"/>
        </w:rPr>
        <w:t xml:space="preserve">The CTSI is funded through a multi-year award from the National Institutes of Health’s </w:t>
      </w:r>
      <w:hyperlink r:id="rId7" w:tgtFrame="_blank" w:history="1">
        <w:r w:rsidRPr="006346EC">
          <w:rPr>
            <w:rStyle w:val="Hyperlink"/>
            <w:rFonts w:ascii="Arial" w:hAnsi="Arial" w:cs="Arial"/>
            <w:color w:val="000000" w:themeColor="text1"/>
            <w:sz w:val="22"/>
            <w:szCs w:val="22"/>
          </w:rPr>
          <w:t>National Center for Advancing Translational Sciences (NCATS)</w:t>
        </w:r>
      </w:hyperlink>
      <w:r w:rsidRPr="006346EC">
        <w:rPr>
          <w:rFonts w:ascii="Arial" w:hAnsi="Arial" w:cs="Arial"/>
          <w:color w:val="000000" w:themeColor="text1"/>
          <w:sz w:val="22"/>
          <w:szCs w:val="22"/>
        </w:rPr>
        <w:t xml:space="preserve"> </w:t>
      </w:r>
      <w:hyperlink r:id="rId8" w:history="1">
        <w:r w:rsidRPr="006346EC">
          <w:rPr>
            <w:rStyle w:val="Hyperlink"/>
            <w:rFonts w:ascii="Arial" w:hAnsi="Arial" w:cs="Arial"/>
            <w:color w:val="000000" w:themeColor="text1"/>
            <w:sz w:val="22"/>
            <w:szCs w:val="22"/>
          </w:rPr>
          <w:t>Clinical and Translational Science Awards (CTSA)</w:t>
        </w:r>
      </w:hyperlink>
      <w:r w:rsidRPr="006346EC">
        <w:rPr>
          <w:rFonts w:ascii="Arial" w:hAnsi="Arial" w:cs="Arial"/>
          <w:color w:val="000000" w:themeColor="text1"/>
          <w:sz w:val="22"/>
          <w:szCs w:val="22"/>
        </w:rPr>
        <w:t xml:space="preserve"> Program. The CTSI aims to be a national leader and model CTSA hub in advancing impactful clinical and translational research at The Ohio State University and Nationwide Children’s Hospital.</w:t>
      </w:r>
    </w:p>
    <w:p w14:paraId="59F5E4F3" w14:textId="77777777" w:rsidR="000F399E" w:rsidRPr="006346EC" w:rsidRDefault="000F399E" w:rsidP="006346EC">
      <w:pPr>
        <w:rPr>
          <w:rFonts w:ascii="Arial" w:hAnsi="Arial" w:cs="Arial"/>
          <w:color w:val="000000" w:themeColor="text1"/>
          <w:sz w:val="22"/>
          <w:szCs w:val="22"/>
        </w:rPr>
      </w:pPr>
    </w:p>
    <w:p w14:paraId="495D1319" w14:textId="77777777" w:rsidR="000F399E" w:rsidRPr="006346EC" w:rsidRDefault="000F399E" w:rsidP="006346EC">
      <w:pPr>
        <w:rPr>
          <w:rFonts w:ascii="Arial" w:hAnsi="Arial" w:cs="Arial"/>
          <w:color w:val="000000" w:themeColor="text1"/>
          <w:sz w:val="22"/>
          <w:szCs w:val="22"/>
        </w:rPr>
      </w:pPr>
      <w:r w:rsidRPr="006346EC">
        <w:rPr>
          <w:rFonts w:ascii="Arial" w:hAnsi="Arial" w:cs="Arial"/>
          <w:color w:val="000000" w:themeColor="text1"/>
          <w:sz w:val="22"/>
          <w:szCs w:val="22"/>
        </w:rPr>
        <w:t xml:space="preserve">The CTSI serves the entire clinical and translational research and science community across Ohio State and Nationwide Children’s Hospital and partners with community health and education agencies and regional institutional networks. The CTSI provides resources, educational programs and funding opportunities to help advance clinical and translational research and science. </w:t>
      </w:r>
    </w:p>
    <w:p w14:paraId="12B27FA0" w14:textId="77777777" w:rsidR="000F399E" w:rsidRPr="006346EC" w:rsidRDefault="000F399E" w:rsidP="006346EC">
      <w:pPr>
        <w:rPr>
          <w:rFonts w:ascii="Arial" w:hAnsi="Arial" w:cs="Arial"/>
          <w:color w:val="000000" w:themeColor="text1"/>
          <w:sz w:val="22"/>
          <w:szCs w:val="22"/>
        </w:rPr>
      </w:pPr>
    </w:p>
    <w:p w14:paraId="64D6D2EC" w14:textId="77777777" w:rsidR="000F399E" w:rsidRPr="006346EC" w:rsidRDefault="000F399E" w:rsidP="006346EC">
      <w:pPr>
        <w:rPr>
          <w:rFonts w:ascii="Arial" w:hAnsi="Arial" w:cs="Arial"/>
          <w:color w:val="000000" w:themeColor="text1"/>
          <w:sz w:val="22"/>
          <w:szCs w:val="22"/>
        </w:rPr>
      </w:pPr>
      <w:r w:rsidRPr="006346EC">
        <w:rPr>
          <w:rFonts w:ascii="Arial" w:hAnsi="Arial" w:cs="Arial"/>
          <w:color w:val="000000" w:themeColor="text1"/>
          <w:sz w:val="22"/>
          <w:szCs w:val="22"/>
        </w:rPr>
        <w:t>Julie Johnson, PharmD is the director and principal investigator of the Clinical and Translational Science Institute, associate dean for Clinical and Translational Research in the Ohio State College of Medicine and associate vice president of Research at The Ohio State University.</w:t>
      </w:r>
    </w:p>
    <w:p w14:paraId="2066919C" w14:textId="77777777" w:rsidR="000F399E" w:rsidRPr="006346EC" w:rsidRDefault="000F399E" w:rsidP="006346EC">
      <w:pPr>
        <w:rPr>
          <w:rFonts w:ascii="Arial" w:hAnsi="Arial" w:cs="Arial"/>
          <w:color w:val="000000" w:themeColor="text1"/>
          <w:sz w:val="22"/>
          <w:szCs w:val="22"/>
        </w:rPr>
      </w:pPr>
    </w:p>
    <w:p w14:paraId="19ECDA67" w14:textId="57A83A81" w:rsidR="000F399E" w:rsidRDefault="000F399E" w:rsidP="006346EC">
      <w:pPr>
        <w:rPr>
          <w:rFonts w:ascii="Arial" w:hAnsi="Arial" w:cs="Arial"/>
          <w:color w:val="000000" w:themeColor="text1"/>
          <w:sz w:val="22"/>
          <w:szCs w:val="22"/>
        </w:rPr>
      </w:pPr>
      <w:r w:rsidRPr="006346EC">
        <w:rPr>
          <w:rFonts w:ascii="Arial" w:hAnsi="Arial" w:cs="Arial"/>
          <w:color w:val="000000" w:themeColor="text1"/>
          <w:sz w:val="22"/>
          <w:szCs w:val="22"/>
        </w:rPr>
        <w:t xml:space="preserve">The Ohio State University and Nationwide Children’s Hospital offer rich scientific and educational environments for the CTSI with state-of-the-art resources that are accessible to investigators and research staff. </w:t>
      </w:r>
    </w:p>
    <w:p w14:paraId="016636F3" w14:textId="77777777" w:rsidR="00E107CD" w:rsidRDefault="00E107CD" w:rsidP="006346EC">
      <w:pPr>
        <w:rPr>
          <w:rFonts w:ascii="Arial" w:hAnsi="Arial" w:cs="Arial"/>
          <w:color w:val="000000" w:themeColor="text1"/>
          <w:sz w:val="22"/>
          <w:szCs w:val="22"/>
        </w:rPr>
      </w:pPr>
    </w:p>
    <w:p w14:paraId="0C545BC5" w14:textId="77777777" w:rsidR="00E107CD" w:rsidRPr="00242AB1" w:rsidRDefault="00E107CD" w:rsidP="00E107CD">
      <w:pPr>
        <w:pStyle w:val="Heading2"/>
        <w:spacing w:before="0" w:after="0"/>
        <w:rPr>
          <w:rFonts w:ascii="Arial" w:hAnsi="Arial" w:cs="Arial"/>
          <w:b/>
          <w:bCs/>
          <w:color w:val="000000" w:themeColor="text1"/>
          <w:sz w:val="22"/>
          <w:szCs w:val="22"/>
          <w:u w:val="single"/>
        </w:rPr>
      </w:pPr>
      <w:r w:rsidRPr="00242AB1">
        <w:rPr>
          <w:rFonts w:ascii="Arial" w:hAnsi="Arial" w:cs="Arial"/>
          <w:b/>
          <w:bCs/>
          <w:color w:val="000000" w:themeColor="text1"/>
          <w:sz w:val="22"/>
          <w:szCs w:val="22"/>
          <w:u w:val="single"/>
        </w:rPr>
        <w:t>CTSI-Specific Resources</w:t>
      </w:r>
    </w:p>
    <w:p w14:paraId="1B4ADCE2" w14:textId="2277D4F2" w:rsidR="00E107CD" w:rsidRDefault="00E107CD" w:rsidP="00E107CD">
      <w:pPr>
        <w:rPr>
          <w:rFonts w:ascii="Arial" w:hAnsi="Arial" w:cs="Arial"/>
          <w:color w:val="000000" w:themeColor="text1"/>
          <w:sz w:val="22"/>
          <w:szCs w:val="22"/>
        </w:rPr>
      </w:pPr>
      <w:r w:rsidRPr="006346EC">
        <w:rPr>
          <w:rFonts w:ascii="Arial" w:hAnsi="Arial" w:cs="Arial"/>
          <w:color w:val="000000" w:themeColor="text1"/>
          <w:sz w:val="22"/>
          <w:szCs w:val="22"/>
        </w:rPr>
        <w:t xml:space="preserve">The CTSI Community Engagement Program supports the development of researcher/participant and researcher/community partnerships. Such partnerships require familiarity with research participant perspectives, outreach and engagement best practices and available resources. </w:t>
      </w:r>
      <w:r w:rsidR="00955AF5" w:rsidRPr="00955AF5">
        <w:rPr>
          <w:rFonts w:ascii="Arial" w:hAnsi="Arial" w:cs="Arial"/>
          <w:color w:val="000000" w:themeColor="text1"/>
          <w:sz w:val="22"/>
          <w:szCs w:val="22"/>
        </w:rPr>
        <w:t>Services available through the Community Engagement Program include assistance with community-engaged research planning, recruitment and data collection strategies, development of partnerships with community organizations and connections to regional networks such as the Appalachian Translational Research Network (ATRN). Jeff Grever serves as the Community Engagement team manager.</w:t>
      </w:r>
    </w:p>
    <w:p w14:paraId="788CEA6E" w14:textId="77777777" w:rsidR="00955AF5" w:rsidRPr="00242AB1" w:rsidRDefault="00955AF5" w:rsidP="00E107CD">
      <w:pPr>
        <w:rPr>
          <w:rFonts w:ascii="Arial" w:hAnsi="Arial" w:cs="Arial"/>
          <w:color w:val="000000" w:themeColor="text1"/>
          <w:sz w:val="22"/>
          <w:szCs w:val="22"/>
        </w:rPr>
      </w:pPr>
    </w:p>
    <w:p w14:paraId="2208811A" w14:textId="77777777" w:rsidR="00E107CD" w:rsidRPr="00C01A0B" w:rsidRDefault="00E107CD" w:rsidP="00E107CD">
      <w:pPr>
        <w:rPr>
          <w:rFonts w:ascii="Arial" w:hAnsi="Arial" w:cs="Arial"/>
          <w:b/>
          <w:bCs/>
          <w:color w:val="000000" w:themeColor="text1"/>
          <w:sz w:val="22"/>
          <w:szCs w:val="22"/>
          <w:u w:val="single"/>
        </w:rPr>
      </w:pPr>
      <w:r w:rsidRPr="00C01A0B">
        <w:rPr>
          <w:rFonts w:ascii="Arial" w:hAnsi="Arial" w:cs="Arial"/>
          <w:b/>
          <w:bCs/>
          <w:color w:val="000000" w:themeColor="text1"/>
          <w:sz w:val="22"/>
          <w:szCs w:val="22"/>
          <w:u w:val="single"/>
        </w:rPr>
        <w:t xml:space="preserve">REDCap Services </w:t>
      </w:r>
    </w:p>
    <w:p w14:paraId="3B4D825C" w14:textId="6E91EB72" w:rsidR="00E107CD" w:rsidRPr="006346EC" w:rsidRDefault="00E107CD" w:rsidP="00E107CD">
      <w:pPr>
        <w:snapToGrid w:val="0"/>
        <w:rPr>
          <w:rFonts w:ascii="Arial" w:hAnsi="Arial" w:cs="Arial"/>
          <w:color w:val="000000" w:themeColor="text1"/>
          <w:sz w:val="22"/>
          <w:szCs w:val="22"/>
        </w:rPr>
      </w:pPr>
      <w:r w:rsidRPr="006346EC">
        <w:rPr>
          <w:rFonts w:ascii="Arial" w:hAnsi="Arial" w:cs="Arial"/>
          <w:color w:val="000000" w:themeColor="text1"/>
          <w:sz w:val="22"/>
          <w:szCs w:val="22"/>
        </w:rPr>
        <w:t xml:space="preserve">Clinical data including for the clinical immunotherapy database and from non-interventional trials will be stored and secured using a HIPAA-compliant, encrypted REDCap database, which is password- and firewall-protected. REDCap is a secure web platform for building and managing online databases. </w:t>
      </w:r>
      <w:proofErr w:type="spellStart"/>
      <w:r w:rsidRPr="006346EC">
        <w:rPr>
          <w:rFonts w:ascii="Arial" w:hAnsi="Arial" w:cs="Arial"/>
          <w:color w:val="000000" w:themeColor="text1"/>
          <w:sz w:val="22"/>
          <w:szCs w:val="22"/>
        </w:rPr>
        <w:t>REDCap's</w:t>
      </w:r>
      <w:proofErr w:type="spellEnd"/>
      <w:r w:rsidRPr="006346EC">
        <w:rPr>
          <w:rFonts w:ascii="Arial" w:hAnsi="Arial" w:cs="Arial"/>
          <w:color w:val="000000" w:themeColor="text1"/>
          <w:sz w:val="22"/>
          <w:szCs w:val="22"/>
        </w:rPr>
        <w:t xml:space="preserve"> streamlined process for rapidly creating and designing projects offers a vast array of tools that can be tailored to virtually any data collection strategy. REDCap allows clinical team members to perform informed consent electronically for participants via survey feature. REDCap provides automated export procedures for seamless data downloads to common statistical packages (SPSS, SAS, Stata, R</w:t>
      </w:r>
      <w:proofErr w:type="gramStart"/>
      <w:r w:rsidRPr="006346EC">
        <w:rPr>
          <w:rFonts w:ascii="Arial" w:hAnsi="Arial" w:cs="Arial"/>
          <w:color w:val="000000" w:themeColor="text1"/>
          <w:sz w:val="22"/>
          <w:szCs w:val="22"/>
        </w:rPr>
        <w:t>), and</w:t>
      </w:r>
      <w:proofErr w:type="gramEnd"/>
      <w:r w:rsidRPr="006346EC">
        <w:rPr>
          <w:rFonts w:ascii="Arial" w:hAnsi="Arial" w:cs="Arial"/>
          <w:color w:val="000000" w:themeColor="text1"/>
          <w:sz w:val="22"/>
          <w:szCs w:val="22"/>
        </w:rPr>
        <w:t xml:space="preserve"> allows for de-identification of data prior to extraction to minimize risk of breach of confidentiality. </w:t>
      </w:r>
    </w:p>
    <w:p w14:paraId="278EDAF1" w14:textId="77777777" w:rsidR="00E107CD" w:rsidRDefault="00E107CD" w:rsidP="00E107CD">
      <w:pPr>
        <w:rPr>
          <w:rFonts w:ascii="Arial" w:hAnsi="Arial" w:cs="Arial"/>
          <w:color w:val="000000" w:themeColor="text1"/>
          <w:sz w:val="22"/>
          <w:szCs w:val="22"/>
        </w:rPr>
      </w:pPr>
    </w:p>
    <w:p w14:paraId="2E720906" w14:textId="77777777" w:rsidR="00E107CD" w:rsidRPr="00C01A0B" w:rsidRDefault="00E107CD" w:rsidP="00E107CD">
      <w:pPr>
        <w:rPr>
          <w:rFonts w:ascii="Arial" w:hAnsi="Arial" w:cs="Arial"/>
          <w:b/>
          <w:bCs/>
          <w:color w:val="000000" w:themeColor="text1"/>
          <w:sz w:val="22"/>
          <w:szCs w:val="22"/>
          <w:u w:val="single"/>
        </w:rPr>
      </w:pPr>
      <w:r w:rsidRPr="00C01A0B">
        <w:rPr>
          <w:rFonts w:ascii="Arial" w:hAnsi="Arial" w:cs="Arial"/>
          <w:b/>
          <w:bCs/>
          <w:color w:val="000000" w:themeColor="text1"/>
          <w:sz w:val="22"/>
          <w:szCs w:val="22"/>
          <w:u w:val="single"/>
        </w:rPr>
        <w:t xml:space="preserve">Research Resources </w:t>
      </w:r>
    </w:p>
    <w:p w14:paraId="67D0EADE" w14:textId="77777777" w:rsidR="00E107CD" w:rsidRPr="00242AB1" w:rsidRDefault="00E107CD" w:rsidP="00E107CD">
      <w:pPr>
        <w:rPr>
          <w:rFonts w:ascii="Arial" w:hAnsi="Arial" w:cs="Arial"/>
          <w:color w:val="000000" w:themeColor="text1"/>
          <w:sz w:val="22"/>
          <w:szCs w:val="22"/>
        </w:rPr>
      </w:pPr>
      <w:r w:rsidRPr="00242AB1">
        <w:rPr>
          <w:rFonts w:ascii="Arial" w:hAnsi="Arial" w:cs="Arial"/>
          <w:color w:val="000000" w:themeColor="text1"/>
          <w:sz w:val="22"/>
          <w:szCs w:val="22"/>
        </w:rPr>
        <w:t xml:space="preserve">CTSI Recruitment and Retention Services (RRS) provides consultation to research team members to help facilitate the process of recruiting and retaining study participants by sharing the best tools and methods available in study participant recruitment and retention. Since the most successful approach to recruitment is a combination of multiple tools and strategies, RRS can help guide recruiters through the process and offers a </w:t>
      </w:r>
      <w:r w:rsidRPr="00242AB1">
        <w:rPr>
          <w:rFonts w:ascii="Arial" w:hAnsi="Arial" w:cs="Arial"/>
          <w:color w:val="000000" w:themeColor="text1"/>
          <w:sz w:val="22"/>
          <w:szCs w:val="22"/>
        </w:rPr>
        <w:lastRenderedPageBreak/>
        <w:t xml:space="preserve">toolbox of options such as </w:t>
      </w:r>
      <w:proofErr w:type="spellStart"/>
      <w:r w:rsidRPr="00242AB1">
        <w:rPr>
          <w:rFonts w:ascii="Arial" w:hAnsi="Arial" w:cs="Arial"/>
          <w:color w:val="000000" w:themeColor="text1"/>
          <w:sz w:val="22"/>
          <w:szCs w:val="22"/>
        </w:rPr>
        <w:t>ResearchMatch</w:t>
      </w:r>
      <w:proofErr w:type="spellEnd"/>
      <w:r w:rsidRPr="00242AB1">
        <w:rPr>
          <w:rFonts w:ascii="Arial" w:hAnsi="Arial" w:cs="Arial"/>
          <w:color w:val="000000" w:themeColor="text1"/>
          <w:sz w:val="22"/>
          <w:szCs w:val="22"/>
        </w:rPr>
        <w:t xml:space="preserve">, MyChart for Research Recruitment, </w:t>
      </w:r>
      <w:proofErr w:type="spellStart"/>
      <w:r w:rsidRPr="00242AB1">
        <w:rPr>
          <w:rFonts w:ascii="Arial" w:hAnsi="Arial" w:cs="Arial"/>
          <w:color w:val="000000" w:themeColor="text1"/>
          <w:sz w:val="22"/>
          <w:szCs w:val="22"/>
        </w:rPr>
        <w:t>StudySearch</w:t>
      </w:r>
      <w:proofErr w:type="spellEnd"/>
      <w:r w:rsidRPr="00242AB1">
        <w:rPr>
          <w:rFonts w:ascii="Arial" w:hAnsi="Arial" w:cs="Arial"/>
          <w:color w:val="000000" w:themeColor="text1"/>
          <w:sz w:val="22"/>
          <w:szCs w:val="22"/>
        </w:rPr>
        <w:t>, as well as assistance for creating recruitment marketing materials such as brochures, fliers and postcards, social media campaigns and advertisements. Mary Becker is the Recruitment and Retention Services team manager.</w:t>
      </w:r>
    </w:p>
    <w:p w14:paraId="54CF2F9F" w14:textId="77777777" w:rsidR="00E107CD" w:rsidRDefault="00E107CD" w:rsidP="00E107CD">
      <w:pPr>
        <w:rPr>
          <w:rFonts w:ascii="Arial" w:hAnsi="Arial" w:cs="Arial"/>
          <w:color w:val="000000" w:themeColor="text1"/>
          <w:sz w:val="22"/>
          <w:szCs w:val="22"/>
        </w:rPr>
      </w:pPr>
    </w:p>
    <w:p w14:paraId="2B62D2F6" w14:textId="2A5DD7FB" w:rsidR="00E107CD" w:rsidRPr="00242AB1" w:rsidRDefault="00E107CD" w:rsidP="00E107CD">
      <w:pPr>
        <w:rPr>
          <w:rFonts w:ascii="Arial" w:hAnsi="Arial" w:cs="Arial"/>
          <w:color w:val="000000" w:themeColor="text1"/>
          <w:sz w:val="22"/>
          <w:szCs w:val="22"/>
        </w:rPr>
      </w:pPr>
      <w:r w:rsidRPr="00242AB1">
        <w:rPr>
          <w:rFonts w:ascii="Arial" w:hAnsi="Arial" w:cs="Arial"/>
          <w:color w:val="000000" w:themeColor="text1"/>
          <w:sz w:val="22"/>
          <w:szCs w:val="22"/>
        </w:rPr>
        <w:t xml:space="preserve">CTSI Regulatory Knowledge and Support (RKS) enhances research operations by collaborating with internal Ohio State and Nationwide Children’s Hospital research partners, core services and external entities, such as the Food and Drug Administration (FDA) and the National Institutes of Health (NIH). </w:t>
      </w:r>
      <w:r w:rsidR="00955AF5" w:rsidRPr="00955AF5">
        <w:rPr>
          <w:rFonts w:ascii="Arial" w:hAnsi="Arial" w:cs="Arial"/>
          <w:color w:val="000000" w:themeColor="text1"/>
          <w:sz w:val="22"/>
          <w:szCs w:val="22"/>
        </w:rPr>
        <w:t>RKS serves as the CTSI’s primary regulatory affairs resource and provides consultation, compliance guidance and study oversight services.</w:t>
      </w:r>
      <w:r w:rsidR="00955AF5">
        <w:rPr>
          <w:rFonts w:ascii="Arial" w:hAnsi="Arial" w:cs="Arial"/>
          <w:color w:val="000000" w:themeColor="text1"/>
          <w:sz w:val="22"/>
          <w:szCs w:val="22"/>
        </w:rPr>
        <w:t xml:space="preserve"> </w:t>
      </w:r>
      <w:r w:rsidRPr="00242AB1">
        <w:rPr>
          <w:rFonts w:ascii="Arial" w:hAnsi="Arial" w:cs="Arial"/>
          <w:color w:val="000000" w:themeColor="text1"/>
          <w:sz w:val="22"/>
          <w:szCs w:val="22"/>
        </w:rPr>
        <w:t xml:space="preserve">The Regulatory Knowledge and Support (RKS) Team is led by </w:t>
      </w:r>
      <w:r>
        <w:rPr>
          <w:rFonts w:ascii="Arial" w:hAnsi="Arial" w:cs="Arial"/>
          <w:color w:val="000000" w:themeColor="text1"/>
          <w:sz w:val="22"/>
          <w:szCs w:val="22"/>
        </w:rPr>
        <w:t>Courtney Lynch</w:t>
      </w:r>
      <w:r w:rsidRPr="00242AB1">
        <w:rPr>
          <w:rFonts w:ascii="Arial" w:hAnsi="Arial" w:cs="Arial"/>
          <w:color w:val="000000" w:themeColor="text1"/>
          <w:sz w:val="22"/>
          <w:szCs w:val="22"/>
        </w:rPr>
        <w:t>, who is the R</w:t>
      </w:r>
      <w:r>
        <w:rPr>
          <w:rFonts w:ascii="Arial" w:hAnsi="Arial" w:cs="Arial"/>
          <w:color w:val="000000" w:themeColor="text1"/>
          <w:sz w:val="22"/>
          <w:szCs w:val="22"/>
        </w:rPr>
        <w:t xml:space="preserve">esearch Resources </w:t>
      </w:r>
      <w:r w:rsidRPr="00242AB1">
        <w:rPr>
          <w:rFonts w:ascii="Arial" w:hAnsi="Arial" w:cs="Arial"/>
          <w:color w:val="000000" w:themeColor="text1"/>
          <w:sz w:val="22"/>
          <w:szCs w:val="22"/>
        </w:rPr>
        <w:t>Director. April Green serves as the RKS team manager.</w:t>
      </w:r>
    </w:p>
    <w:p w14:paraId="0943E5F0" w14:textId="77777777" w:rsidR="00E107CD" w:rsidRPr="006346EC" w:rsidRDefault="00E107CD" w:rsidP="00E107CD">
      <w:pPr>
        <w:rPr>
          <w:rFonts w:ascii="Arial" w:hAnsi="Arial" w:cs="Arial"/>
          <w:color w:val="000000" w:themeColor="text1"/>
          <w:sz w:val="22"/>
          <w:szCs w:val="22"/>
        </w:rPr>
      </w:pPr>
      <w:r w:rsidRPr="006346EC">
        <w:rPr>
          <w:rFonts w:ascii="Arial" w:hAnsi="Arial" w:cs="Arial"/>
          <w:color w:val="000000" w:themeColor="text1"/>
          <w:sz w:val="22"/>
          <w:szCs w:val="22"/>
        </w:rPr>
        <w:t>RKS provides the following services:</w:t>
      </w:r>
    </w:p>
    <w:p w14:paraId="0CD8CF01" w14:textId="77777777" w:rsidR="00E107CD" w:rsidRPr="006346EC" w:rsidRDefault="00E107CD" w:rsidP="00E107CD">
      <w:pPr>
        <w:rPr>
          <w:rFonts w:ascii="Arial" w:hAnsi="Arial" w:cs="Arial"/>
          <w:color w:val="000000" w:themeColor="text1"/>
          <w:sz w:val="22"/>
          <w:szCs w:val="22"/>
        </w:rPr>
      </w:pPr>
    </w:p>
    <w:p w14:paraId="748A1048" w14:textId="77777777" w:rsidR="00E107CD" w:rsidRPr="006346EC" w:rsidRDefault="00E107CD" w:rsidP="00E107CD">
      <w:pPr>
        <w:numPr>
          <w:ilvl w:val="0"/>
          <w:numId w:val="32"/>
        </w:numPr>
        <w:rPr>
          <w:rFonts w:ascii="Arial" w:hAnsi="Arial" w:cs="Arial"/>
          <w:color w:val="000000" w:themeColor="text1"/>
          <w:sz w:val="22"/>
          <w:szCs w:val="22"/>
        </w:rPr>
      </w:pPr>
      <w:r w:rsidRPr="006346EC">
        <w:rPr>
          <w:rFonts w:ascii="Arial" w:hAnsi="Arial" w:cs="Arial"/>
          <w:color w:val="000000" w:themeColor="text1"/>
          <w:sz w:val="22"/>
          <w:szCs w:val="22"/>
        </w:rPr>
        <w:t>Provides study oversight services including Data Safety and Monitoring Board (DSMB), independent safety monitor, independent study monitoring through source verification and regulatory reviews and/or conducting independent quality checks/audits</w:t>
      </w:r>
    </w:p>
    <w:p w14:paraId="6F9F9FD3" w14:textId="77777777" w:rsidR="00E107CD" w:rsidRPr="006346EC" w:rsidRDefault="00E107CD" w:rsidP="00E107CD">
      <w:pPr>
        <w:numPr>
          <w:ilvl w:val="0"/>
          <w:numId w:val="32"/>
        </w:numPr>
        <w:rPr>
          <w:rFonts w:ascii="Arial" w:hAnsi="Arial" w:cs="Arial"/>
          <w:color w:val="000000" w:themeColor="text1"/>
          <w:sz w:val="22"/>
          <w:szCs w:val="22"/>
        </w:rPr>
      </w:pPr>
      <w:r w:rsidRPr="006346EC">
        <w:rPr>
          <w:rFonts w:ascii="Arial" w:hAnsi="Arial" w:cs="Arial"/>
          <w:color w:val="000000" w:themeColor="text1"/>
          <w:sz w:val="22"/>
          <w:szCs w:val="22"/>
        </w:rPr>
        <w:t>Provides guidance for establishing a DSMB</w:t>
      </w:r>
    </w:p>
    <w:p w14:paraId="59C363A7" w14:textId="77777777" w:rsidR="00E107CD" w:rsidRPr="006346EC" w:rsidRDefault="00E107CD" w:rsidP="00E107CD">
      <w:pPr>
        <w:pStyle w:val="ListParagraph"/>
        <w:numPr>
          <w:ilvl w:val="0"/>
          <w:numId w:val="32"/>
        </w:numPr>
        <w:rPr>
          <w:rFonts w:ascii="Arial" w:hAnsi="Arial" w:cs="Arial"/>
          <w:color w:val="000000" w:themeColor="text1"/>
          <w:sz w:val="22"/>
          <w:szCs w:val="22"/>
        </w:rPr>
      </w:pPr>
      <w:r w:rsidRPr="006346EC">
        <w:rPr>
          <w:rFonts w:ascii="Arial" w:hAnsi="Arial" w:cs="Arial"/>
          <w:color w:val="000000" w:themeColor="text1"/>
          <w:sz w:val="22"/>
          <w:szCs w:val="22"/>
        </w:rPr>
        <w:t>Consultations for development of data and safety monitoring plans, protocols, consent forms, IRB applications, FDA Investigational New Drug (IND) and Investigational Device Exemption (IDE) applications, essential documents and/or grant submission documents</w:t>
      </w:r>
    </w:p>
    <w:p w14:paraId="37D2DD34" w14:textId="77777777" w:rsidR="00E107CD" w:rsidRPr="006346EC" w:rsidRDefault="00E107CD" w:rsidP="00E107CD">
      <w:pPr>
        <w:numPr>
          <w:ilvl w:val="0"/>
          <w:numId w:val="32"/>
        </w:numPr>
        <w:rPr>
          <w:rFonts w:ascii="Arial" w:hAnsi="Arial" w:cs="Arial"/>
          <w:color w:val="000000" w:themeColor="text1"/>
          <w:sz w:val="22"/>
          <w:szCs w:val="22"/>
        </w:rPr>
      </w:pPr>
      <w:r w:rsidRPr="006346EC">
        <w:rPr>
          <w:rFonts w:ascii="Arial" w:hAnsi="Arial" w:cs="Arial"/>
          <w:color w:val="000000" w:themeColor="text1"/>
          <w:sz w:val="22"/>
          <w:szCs w:val="22"/>
        </w:rPr>
        <w:t>Guidance for regulatory processes including various IRB submissions, including single IRBs for multi-site studies, FDA IND and IDE submissions, ClinicalTrials.gov Registration and grant submissions processes</w:t>
      </w:r>
    </w:p>
    <w:p w14:paraId="2F7CDE12" w14:textId="77777777" w:rsidR="00E107CD" w:rsidRPr="006346EC" w:rsidRDefault="00E107CD" w:rsidP="00E107CD">
      <w:pPr>
        <w:numPr>
          <w:ilvl w:val="0"/>
          <w:numId w:val="32"/>
        </w:numPr>
        <w:rPr>
          <w:rFonts w:ascii="Arial" w:hAnsi="Arial" w:cs="Arial"/>
          <w:color w:val="000000" w:themeColor="text1"/>
          <w:sz w:val="22"/>
          <w:szCs w:val="22"/>
        </w:rPr>
      </w:pPr>
      <w:r w:rsidRPr="006346EC">
        <w:rPr>
          <w:rFonts w:ascii="Arial" w:hAnsi="Arial" w:cs="Arial"/>
          <w:color w:val="000000" w:themeColor="text1"/>
          <w:sz w:val="22"/>
          <w:szCs w:val="22"/>
        </w:rPr>
        <w:t>Consultations for regulatory, International Council for Harmonization Good Clinical Practices (ICH-GCP) and NIH requirements</w:t>
      </w:r>
    </w:p>
    <w:p w14:paraId="64602BA2" w14:textId="77777777" w:rsidR="00E107CD" w:rsidRPr="006346EC" w:rsidRDefault="00E107CD" w:rsidP="00E107CD">
      <w:pPr>
        <w:numPr>
          <w:ilvl w:val="0"/>
          <w:numId w:val="32"/>
        </w:numPr>
        <w:rPr>
          <w:rFonts w:ascii="Arial" w:hAnsi="Arial" w:cs="Arial"/>
          <w:color w:val="000000" w:themeColor="text1"/>
          <w:sz w:val="22"/>
          <w:szCs w:val="22"/>
        </w:rPr>
      </w:pPr>
      <w:r w:rsidRPr="006346EC">
        <w:rPr>
          <w:rFonts w:ascii="Arial" w:hAnsi="Arial" w:cs="Arial"/>
          <w:color w:val="000000" w:themeColor="text1"/>
          <w:sz w:val="22"/>
          <w:szCs w:val="22"/>
        </w:rPr>
        <w:t>Serves as a subject advocate for clinical trials</w:t>
      </w:r>
    </w:p>
    <w:p w14:paraId="5876D08C" w14:textId="77777777" w:rsidR="00E107CD" w:rsidRPr="00242AB1" w:rsidRDefault="00E107CD" w:rsidP="00E107CD">
      <w:pPr>
        <w:numPr>
          <w:ilvl w:val="0"/>
          <w:numId w:val="32"/>
        </w:numPr>
        <w:rPr>
          <w:rFonts w:ascii="Arial" w:hAnsi="Arial" w:cs="Arial"/>
          <w:color w:val="000000" w:themeColor="text1"/>
          <w:sz w:val="22"/>
          <w:szCs w:val="22"/>
        </w:rPr>
      </w:pPr>
      <w:r w:rsidRPr="006346EC">
        <w:rPr>
          <w:rFonts w:ascii="Arial" w:hAnsi="Arial" w:cs="Arial"/>
          <w:color w:val="000000" w:themeColor="text1"/>
          <w:sz w:val="22"/>
          <w:szCs w:val="22"/>
        </w:rPr>
        <w:t>Provides training, guidance and compliance communications to the university regarding ClinicalTrials.gov</w:t>
      </w:r>
    </w:p>
    <w:p w14:paraId="612B7DDF" w14:textId="77777777" w:rsidR="00E107CD" w:rsidRPr="006346EC" w:rsidRDefault="00E107CD" w:rsidP="00E107CD">
      <w:pPr>
        <w:rPr>
          <w:rFonts w:ascii="Arial" w:hAnsi="Arial" w:cs="Arial"/>
          <w:color w:val="000000" w:themeColor="text1"/>
          <w:sz w:val="22"/>
          <w:szCs w:val="22"/>
        </w:rPr>
      </w:pPr>
    </w:p>
    <w:p w14:paraId="5C88CD3F" w14:textId="77777777" w:rsidR="00E107CD" w:rsidRPr="00C01A0B" w:rsidRDefault="00E107CD" w:rsidP="00E107CD">
      <w:pPr>
        <w:rPr>
          <w:rFonts w:ascii="Arial" w:hAnsi="Arial" w:cs="Arial"/>
          <w:b/>
          <w:bCs/>
          <w:color w:val="000000" w:themeColor="text1"/>
          <w:sz w:val="22"/>
          <w:szCs w:val="22"/>
          <w:u w:val="single"/>
        </w:rPr>
      </w:pPr>
      <w:r w:rsidRPr="00C01A0B">
        <w:rPr>
          <w:rFonts w:ascii="Arial" w:hAnsi="Arial" w:cs="Arial"/>
          <w:b/>
          <w:bCs/>
          <w:color w:val="000000" w:themeColor="text1"/>
          <w:sz w:val="22"/>
          <w:szCs w:val="22"/>
          <w:u w:val="single"/>
        </w:rPr>
        <w:t>Multisite Trials Coordinating Center (MTCC)</w:t>
      </w:r>
    </w:p>
    <w:p w14:paraId="0736BFAF" w14:textId="6E6202D2" w:rsidR="00E107CD" w:rsidRDefault="00E107CD" w:rsidP="00E107CD">
      <w:pPr>
        <w:rPr>
          <w:rFonts w:ascii="Arial" w:hAnsi="Arial" w:cs="Arial"/>
          <w:color w:val="000000" w:themeColor="text1"/>
          <w:sz w:val="22"/>
          <w:szCs w:val="22"/>
        </w:rPr>
      </w:pPr>
      <w:r w:rsidRPr="00C01A0B">
        <w:rPr>
          <w:rFonts w:ascii="Arial" w:hAnsi="Arial" w:cs="Arial"/>
          <w:color w:val="000000" w:themeColor="text1"/>
          <w:sz w:val="22"/>
          <w:szCs w:val="22"/>
        </w:rPr>
        <w:t xml:space="preserve">The Ohio State University Multisite Trials Coordinating Center (MTCC) provides integrated trial and data coordination infrastructure to support the design, conduct, and oversight of complex multisite clinical research studies. The MTCC combines a Trial Coordinating Center (TCC) and Data Coordinating Center (DCC), bringing together expertise in clinical trial operations, project management, biostatistics, biomedical informatics, data management, regulatory science, and research administration. The center is led by strategic leaders including Julie Johnson, Soledad Fernandez, and Philip </w:t>
      </w:r>
      <w:r>
        <w:rPr>
          <w:rFonts w:ascii="Arial" w:hAnsi="Arial" w:cs="Arial"/>
          <w:color w:val="000000" w:themeColor="text1"/>
          <w:sz w:val="22"/>
          <w:szCs w:val="22"/>
        </w:rPr>
        <w:t>Hart</w:t>
      </w:r>
      <w:r w:rsidRPr="00C01A0B">
        <w:rPr>
          <w:rFonts w:ascii="Arial" w:hAnsi="Arial" w:cs="Arial"/>
          <w:color w:val="000000" w:themeColor="text1"/>
          <w:sz w:val="22"/>
          <w:szCs w:val="22"/>
        </w:rPr>
        <w:t>, with operational leadership provided by Hee-Byung Choe and Jessica Fritter. MTCC leadership and affiliated faculty have extensive experience leading randomized controlled trials, pragmatic clinical trials, observational studies, implementation studies, and federally funded, academic, and industry-sponsored multicenter research programs. Investigators supported by the MTCC benefit from access to experts in clinical research operations, biostatistics, informatics, data science, and regulatory affairs, as well as established partnerships across The Ohio State University, The Ohio State University Wexner Medical Center, the Clinical and Translational Science Institute (CTSI), and the Center for Biostatistics</w:t>
      </w:r>
      <w:r>
        <w:rPr>
          <w:rFonts w:ascii="Arial" w:hAnsi="Arial" w:cs="Arial"/>
          <w:color w:val="000000" w:themeColor="text1"/>
          <w:sz w:val="22"/>
          <w:szCs w:val="22"/>
        </w:rPr>
        <w:t>. The</w:t>
      </w:r>
      <w:r w:rsidRPr="00C01A0B">
        <w:rPr>
          <w:rFonts w:ascii="Arial" w:hAnsi="Arial" w:cs="Arial"/>
          <w:color w:val="000000" w:themeColor="text1"/>
          <w:sz w:val="22"/>
          <w:szCs w:val="22"/>
        </w:rPr>
        <w:t xml:space="preserve"> MTCC provides end-to-end support including study design, protocol development, site coordination, data management, statistical analysis, regulatory oversight, and overall study management to ensure scientifically rigorous, operationally efficient, and compliant multicenter research.</w:t>
      </w:r>
    </w:p>
    <w:p w14:paraId="5A644F39" w14:textId="77777777" w:rsidR="00E107CD" w:rsidRPr="00242AB1" w:rsidRDefault="00E107CD" w:rsidP="00E107CD">
      <w:pPr>
        <w:rPr>
          <w:rFonts w:ascii="Arial" w:hAnsi="Arial" w:cs="Arial"/>
          <w:color w:val="000000" w:themeColor="text1"/>
          <w:sz w:val="22"/>
          <w:szCs w:val="22"/>
        </w:rPr>
      </w:pPr>
    </w:p>
    <w:p w14:paraId="554035D1" w14:textId="77777777" w:rsidR="00E107CD" w:rsidRPr="00C01A0B" w:rsidRDefault="00E107CD" w:rsidP="00E107CD">
      <w:pPr>
        <w:rPr>
          <w:rFonts w:ascii="Arial" w:hAnsi="Arial" w:cs="Arial"/>
          <w:b/>
          <w:bCs/>
          <w:color w:val="000000" w:themeColor="text1"/>
          <w:sz w:val="22"/>
          <w:szCs w:val="22"/>
          <w:u w:val="single"/>
        </w:rPr>
      </w:pPr>
      <w:r w:rsidRPr="00C01A0B">
        <w:rPr>
          <w:rFonts w:ascii="Arial" w:hAnsi="Arial" w:cs="Arial"/>
          <w:b/>
          <w:bCs/>
          <w:color w:val="000000" w:themeColor="text1"/>
          <w:sz w:val="22"/>
          <w:szCs w:val="22"/>
          <w:u w:val="single"/>
        </w:rPr>
        <w:t>Other CTSI Services</w:t>
      </w:r>
    </w:p>
    <w:p w14:paraId="1B5D7349" w14:textId="77777777" w:rsidR="00E107CD" w:rsidRPr="00242AB1" w:rsidRDefault="00E107CD" w:rsidP="00E107CD">
      <w:pPr>
        <w:rPr>
          <w:rFonts w:ascii="Arial" w:hAnsi="Arial" w:cs="Arial"/>
          <w:color w:val="000000" w:themeColor="text1"/>
          <w:sz w:val="22"/>
          <w:szCs w:val="22"/>
        </w:rPr>
      </w:pPr>
      <w:r w:rsidRPr="00242AB1">
        <w:rPr>
          <w:rFonts w:ascii="Arial" w:hAnsi="Arial" w:cs="Arial"/>
          <w:color w:val="000000" w:themeColor="text1"/>
          <w:sz w:val="22"/>
          <w:szCs w:val="22"/>
        </w:rPr>
        <w:t xml:space="preserve">Tracking and Evaluation, Comparative Effectiveness Research, Clinical Research Center, Clinical Research Services, Research Education, Training and Career Development (including programming for K12 and T32 scholars and clinical research professionals), Clinical and Translational Data Resources, Pilot Translational and Clinical Research Programs, Spark Awards, Research Navigator and others detailed in the UM1 proposal modules. </w:t>
      </w:r>
    </w:p>
    <w:p w14:paraId="6B1C819F" w14:textId="77777777" w:rsidR="00E107CD" w:rsidRPr="006346EC" w:rsidRDefault="00E107CD" w:rsidP="00E107CD">
      <w:pPr>
        <w:rPr>
          <w:rFonts w:ascii="Arial" w:hAnsi="Arial" w:cs="Arial"/>
          <w:color w:val="000000" w:themeColor="text1"/>
          <w:sz w:val="22"/>
          <w:szCs w:val="22"/>
        </w:rPr>
      </w:pPr>
    </w:p>
    <w:p w14:paraId="3FA5A341" w14:textId="77777777" w:rsidR="00E107CD" w:rsidRPr="006346EC" w:rsidRDefault="00E107CD" w:rsidP="00E107CD">
      <w:pPr>
        <w:rPr>
          <w:rFonts w:ascii="Arial" w:hAnsi="Arial" w:cs="Arial"/>
          <w:b/>
          <w:bCs/>
          <w:color w:val="000000" w:themeColor="text1"/>
          <w:sz w:val="22"/>
          <w:szCs w:val="22"/>
          <w:u w:val="single"/>
        </w:rPr>
      </w:pPr>
      <w:r w:rsidRPr="006346EC">
        <w:rPr>
          <w:rFonts w:ascii="Arial" w:hAnsi="Arial" w:cs="Arial"/>
          <w:b/>
          <w:bCs/>
          <w:color w:val="000000" w:themeColor="text1"/>
          <w:sz w:val="22"/>
          <w:szCs w:val="22"/>
          <w:u w:val="single"/>
        </w:rPr>
        <w:t>Appalachian Translational Research Network</w:t>
      </w:r>
    </w:p>
    <w:p w14:paraId="5074BD11" w14:textId="1A725BB9" w:rsidR="00E107CD" w:rsidRPr="006346EC" w:rsidRDefault="00B12B0B" w:rsidP="00E107CD">
      <w:pPr>
        <w:rPr>
          <w:rFonts w:ascii="Arial" w:hAnsi="Arial" w:cs="Arial"/>
          <w:color w:val="000000" w:themeColor="text1"/>
          <w:sz w:val="22"/>
          <w:szCs w:val="22"/>
        </w:rPr>
      </w:pPr>
      <w:r w:rsidRPr="00B12B0B">
        <w:rPr>
          <w:rFonts w:ascii="Arial" w:hAnsi="Arial" w:cs="Arial"/>
          <w:color w:val="000000" w:themeColor="text1"/>
          <w:sz w:val="22"/>
          <w:szCs w:val="22"/>
        </w:rPr>
        <w:t>The Ohio State University CTSI is a founding member of the Appalachian Translational Research Network (ATRN), a 501(c)(3) collaborative society designed to strengthen translational and public health research and training efforts throughout Appalachia</w:t>
      </w:r>
      <w:r w:rsidR="00E107CD" w:rsidRPr="006346EC">
        <w:rPr>
          <w:rFonts w:ascii="Arial" w:hAnsi="Arial" w:cs="Arial"/>
          <w:color w:val="000000" w:themeColor="text1"/>
          <w:sz w:val="22"/>
          <w:szCs w:val="22"/>
        </w:rPr>
        <w:t xml:space="preserve">. The ATRN’s goal is to improve health among residents in Appalachia by </w:t>
      </w:r>
      <w:r w:rsidR="00E107CD" w:rsidRPr="006346EC">
        <w:rPr>
          <w:rFonts w:ascii="Arial" w:hAnsi="Arial" w:cs="Arial"/>
          <w:color w:val="000000" w:themeColor="text1"/>
          <w:sz w:val="22"/>
          <w:szCs w:val="22"/>
        </w:rPr>
        <w:lastRenderedPageBreak/>
        <w:t xml:space="preserve">fostering collaborative partnerships among institutions and community-partners within the region to enhance translational research. This network has ten institutional partners (Penn State University, The Ohio State University CTSI, Ohio University, Wake Forest School of Medicine, University of Cincinnati, </w:t>
      </w:r>
      <w:proofErr w:type="spellStart"/>
      <w:r w:rsidR="00E107CD" w:rsidRPr="006346EC">
        <w:rPr>
          <w:rFonts w:ascii="Arial" w:hAnsi="Arial" w:cs="Arial"/>
          <w:color w:val="000000" w:themeColor="text1"/>
          <w:sz w:val="22"/>
          <w:szCs w:val="22"/>
        </w:rPr>
        <w:t>iThrive</w:t>
      </w:r>
      <w:proofErr w:type="spellEnd"/>
      <w:r w:rsidR="00E107CD" w:rsidRPr="006346EC">
        <w:rPr>
          <w:rFonts w:ascii="Arial" w:hAnsi="Arial" w:cs="Arial"/>
          <w:color w:val="000000" w:themeColor="text1"/>
          <w:sz w:val="22"/>
          <w:szCs w:val="22"/>
        </w:rPr>
        <w:t xml:space="preserve"> – an integrated Translational Health Research Institute of Virginia, West Virginia University CTSI, University of Kentucky CCTS and Pitt CTSI), representing six states. The ATRN hosts an annual Health Summit each year, rotating hosting through the institutional partners that draws many participants, including researchers and community organizations, to discuss pressing issues that tie this region together. Beverly Stringer is the liaison for The Ohio State University CTSI.</w:t>
      </w:r>
    </w:p>
    <w:p w14:paraId="298627D1" w14:textId="77777777" w:rsidR="00E107CD" w:rsidRPr="006346EC" w:rsidRDefault="00E107CD" w:rsidP="00E107CD">
      <w:pPr>
        <w:rPr>
          <w:rFonts w:ascii="Arial" w:hAnsi="Arial" w:cs="Arial"/>
          <w:color w:val="000000" w:themeColor="text1"/>
          <w:sz w:val="22"/>
          <w:szCs w:val="22"/>
        </w:rPr>
      </w:pPr>
    </w:p>
    <w:p w14:paraId="1AB25352" w14:textId="77777777" w:rsidR="00E107CD" w:rsidRPr="00C01A0B" w:rsidRDefault="00E107CD" w:rsidP="00E107CD">
      <w:pPr>
        <w:rPr>
          <w:rFonts w:ascii="Arial" w:hAnsi="Arial" w:cs="Arial"/>
          <w:b/>
          <w:bCs/>
          <w:color w:val="000000" w:themeColor="text1"/>
          <w:sz w:val="22"/>
          <w:szCs w:val="22"/>
          <w:u w:val="single"/>
        </w:rPr>
      </w:pPr>
      <w:r w:rsidRPr="00C01A0B">
        <w:rPr>
          <w:rFonts w:ascii="Arial" w:hAnsi="Arial" w:cs="Arial"/>
          <w:b/>
          <w:bCs/>
          <w:color w:val="000000" w:themeColor="text1"/>
          <w:sz w:val="22"/>
          <w:szCs w:val="22"/>
          <w:u w:val="single"/>
        </w:rPr>
        <w:t>RAPTIC</w:t>
      </w:r>
    </w:p>
    <w:p w14:paraId="463334D3" w14:textId="77777777" w:rsidR="00E107CD" w:rsidRPr="006346EC" w:rsidRDefault="00E107CD" w:rsidP="00E107CD">
      <w:pPr>
        <w:rPr>
          <w:rFonts w:ascii="Arial" w:hAnsi="Arial" w:cs="Arial"/>
          <w:color w:val="000000" w:themeColor="text1"/>
          <w:sz w:val="22"/>
          <w:szCs w:val="22"/>
        </w:rPr>
      </w:pPr>
      <w:r w:rsidRPr="00C01A0B">
        <w:rPr>
          <w:rFonts w:ascii="Arial" w:eastAsiaTheme="majorEastAsia" w:hAnsi="Arial" w:cs="Arial"/>
          <w:color w:val="000000" w:themeColor="text1"/>
          <w:sz w:val="22"/>
          <w:szCs w:val="22"/>
          <w:shd w:val="clear" w:color="auto" w:fill="FFFFFF"/>
        </w:rPr>
        <w:t>The Research Accelerator Program to Translate, Innovate and Commercialize (RAPTIC) is a faculty development and research acceleration program designed to help investigators in the medical, health, and biomedical sciences advance innovative ideas toward real-world impact. RAPTIC provides structured peer coaching, targeted training, mentoring, and connections to innovation, intellectual property, commercialization, and funding resources. The program supports investigators across the continuum from idea generation and translational research through product development, intellectual property protection, and commercialization. Founded by Kristy Townsend and supported through partnerships across the Clinical and Translational Science Institute (CTSI), Ohio State research enterprise, and innovation ecosystem, RAPTIC helps faculty build collaborative networks, strengthen research programs, and accelerate the translation of discoveries into healthcare and biomedical applications.</w:t>
      </w:r>
    </w:p>
    <w:p w14:paraId="1D79834B" w14:textId="77777777" w:rsidR="00E107CD" w:rsidRPr="006346EC" w:rsidRDefault="00E107CD" w:rsidP="006346EC">
      <w:pPr>
        <w:rPr>
          <w:rFonts w:ascii="Arial" w:hAnsi="Arial" w:cs="Arial"/>
          <w:color w:val="000000" w:themeColor="text1"/>
          <w:sz w:val="22"/>
          <w:szCs w:val="22"/>
        </w:rPr>
      </w:pPr>
    </w:p>
    <w:p w14:paraId="2E8354E5" w14:textId="0DFC52B6" w:rsidR="000F399E" w:rsidRPr="00E107CD" w:rsidRDefault="00E107CD" w:rsidP="006346EC">
      <w:pPr>
        <w:rPr>
          <w:rFonts w:ascii="Arial" w:hAnsi="Arial" w:cs="Arial"/>
          <w:b/>
          <w:bCs/>
          <w:color w:val="000000" w:themeColor="text1"/>
          <w:sz w:val="22"/>
          <w:szCs w:val="22"/>
          <w:u w:val="single"/>
        </w:rPr>
      </w:pPr>
      <w:r w:rsidRPr="00E107CD">
        <w:rPr>
          <w:rFonts w:ascii="Arial" w:hAnsi="Arial" w:cs="Arial"/>
          <w:b/>
          <w:bCs/>
          <w:color w:val="000000" w:themeColor="text1"/>
          <w:sz w:val="22"/>
          <w:szCs w:val="22"/>
          <w:u w:val="single"/>
        </w:rPr>
        <w:t xml:space="preserve">The Ohio State University </w:t>
      </w:r>
    </w:p>
    <w:p w14:paraId="7F5CA6DC" w14:textId="3ACFE73C" w:rsidR="000F399E" w:rsidRPr="006346EC" w:rsidRDefault="000F399E" w:rsidP="006346EC">
      <w:pPr>
        <w:rPr>
          <w:rFonts w:ascii="Arial" w:hAnsi="Arial" w:cs="Arial"/>
          <w:color w:val="000000" w:themeColor="text1"/>
          <w:sz w:val="22"/>
          <w:szCs w:val="22"/>
        </w:rPr>
      </w:pPr>
      <w:r w:rsidRPr="006346EC">
        <w:rPr>
          <w:rFonts w:ascii="Arial" w:hAnsi="Arial" w:cs="Arial"/>
          <w:color w:val="000000" w:themeColor="text1"/>
          <w:sz w:val="22"/>
          <w:szCs w:val="22"/>
        </w:rPr>
        <w:t>Founded in 1870 as Ohio's primary land grant institution under the Morrill Act of 1862, The Ohio State University has become a top research university over the past 15</w:t>
      </w:r>
      <w:r w:rsidR="00944A8E" w:rsidRPr="006346EC">
        <w:rPr>
          <w:rFonts w:ascii="Arial" w:hAnsi="Arial" w:cs="Arial"/>
          <w:color w:val="000000" w:themeColor="text1"/>
          <w:sz w:val="22"/>
          <w:szCs w:val="22"/>
        </w:rPr>
        <w:t>5</w:t>
      </w:r>
      <w:r w:rsidR="00EB073F" w:rsidRPr="006346EC">
        <w:rPr>
          <w:rFonts w:ascii="Arial" w:hAnsi="Arial" w:cs="Arial"/>
          <w:color w:val="000000" w:themeColor="text1"/>
          <w:sz w:val="22"/>
          <w:szCs w:val="22"/>
        </w:rPr>
        <w:t>+</w:t>
      </w:r>
      <w:r w:rsidRPr="006346EC">
        <w:rPr>
          <w:rFonts w:ascii="Arial" w:hAnsi="Arial" w:cs="Arial"/>
          <w:color w:val="000000" w:themeColor="text1"/>
          <w:sz w:val="22"/>
          <w:szCs w:val="22"/>
        </w:rPr>
        <w:t xml:space="preserve"> years. Originally named the Ohio Agricultural and Mechanical College, it was renamed in 1878. With $1.</w:t>
      </w:r>
      <w:r w:rsidR="00EB073F" w:rsidRPr="006346EC">
        <w:rPr>
          <w:rFonts w:ascii="Arial" w:hAnsi="Arial" w:cs="Arial"/>
          <w:color w:val="000000" w:themeColor="text1"/>
          <w:sz w:val="22"/>
          <w:szCs w:val="22"/>
        </w:rPr>
        <w:t>68</w:t>
      </w:r>
      <w:r w:rsidRPr="006346EC">
        <w:rPr>
          <w:rFonts w:ascii="Arial" w:hAnsi="Arial" w:cs="Arial"/>
          <w:color w:val="000000" w:themeColor="text1"/>
          <w:sz w:val="22"/>
          <w:szCs w:val="22"/>
        </w:rPr>
        <w:t xml:space="preserve"> billion research budget, Ohio State is a leader in research and is ranked among the world's most innovative universities. </w:t>
      </w:r>
    </w:p>
    <w:p w14:paraId="207A45AD" w14:textId="77777777" w:rsidR="000F399E" w:rsidRPr="006346EC" w:rsidRDefault="000F399E" w:rsidP="006346EC">
      <w:pPr>
        <w:rPr>
          <w:rFonts w:ascii="Arial" w:hAnsi="Arial" w:cs="Arial"/>
          <w:color w:val="000000" w:themeColor="text1"/>
          <w:sz w:val="22"/>
          <w:szCs w:val="22"/>
        </w:rPr>
      </w:pPr>
      <w:r w:rsidRPr="006346EC">
        <w:rPr>
          <w:rFonts w:ascii="Arial" w:hAnsi="Arial" w:cs="Arial"/>
          <w:color w:val="000000" w:themeColor="text1"/>
          <w:sz w:val="22"/>
          <w:szCs w:val="22"/>
        </w:rPr>
        <w:t> </w:t>
      </w:r>
    </w:p>
    <w:p w14:paraId="0DCFCC27" w14:textId="72D4FEBF" w:rsidR="000F399E" w:rsidRPr="006346EC" w:rsidRDefault="000F399E" w:rsidP="006346EC">
      <w:pPr>
        <w:rPr>
          <w:rFonts w:ascii="Arial" w:hAnsi="Arial" w:cs="Arial"/>
          <w:color w:val="000000" w:themeColor="text1"/>
          <w:sz w:val="22"/>
          <w:szCs w:val="22"/>
        </w:rPr>
      </w:pPr>
      <w:r w:rsidRPr="006346EC">
        <w:rPr>
          <w:rFonts w:ascii="Arial" w:hAnsi="Arial" w:cs="Arial"/>
          <w:color w:val="000000" w:themeColor="text1"/>
          <w:sz w:val="22"/>
          <w:szCs w:val="22"/>
        </w:rPr>
        <w:t xml:space="preserve">Ohio State is one of the largest universities in the United States, with </w:t>
      </w:r>
      <w:r w:rsidR="004624F1" w:rsidRPr="006346EC">
        <w:rPr>
          <w:rFonts w:ascii="Arial" w:hAnsi="Arial" w:cs="Arial"/>
          <w:color w:val="000000" w:themeColor="text1"/>
          <w:sz w:val="22"/>
          <w:szCs w:val="22"/>
        </w:rPr>
        <w:t>8,400</w:t>
      </w:r>
      <w:r w:rsidR="00A1362E">
        <w:rPr>
          <w:rFonts w:ascii="Arial" w:hAnsi="Arial" w:cs="Arial"/>
          <w:color w:val="000000" w:themeColor="text1"/>
          <w:sz w:val="22"/>
          <w:szCs w:val="22"/>
        </w:rPr>
        <w:t>+</w:t>
      </w:r>
      <w:r w:rsidRPr="006346EC">
        <w:rPr>
          <w:rFonts w:ascii="Arial" w:hAnsi="Arial" w:cs="Arial"/>
          <w:color w:val="000000" w:themeColor="text1"/>
          <w:sz w:val="22"/>
          <w:szCs w:val="22"/>
        </w:rPr>
        <w:t xml:space="preserve"> faculty members, 6</w:t>
      </w:r>
      <w:r w:rsidR="00A1362E">
        <w:rPr>
          <w:rFonts w:ascii="Arial" w:hAnsi="Arial" w:cs="Arial"/>
          <w:color w:val="000000" w:themeColor="text1"/>
          <w:sz w:val="22"/>
          <w:szCs w:val="22"/>
        </w:rPr>
        <w:t>8</w:t>
      </w:r>
      <w:r w:rsidRPr="006346EC">
        <w:rPr>
          <w:rFonts w:ascii="Arial" w:hAnsi="Arial" w:cs="Arial"/>
          <w:color w:val="000000" w:themeColor="text1"/>
          <w:sz w:val="22"/>
          <w:szCs w:val="22"/>
        </w:rPr>
        <w:t>,000</w:t>
      </w:r>
      <w:r w:rsidR="00A1362E">
        <w:rPr>
          <w:rFonts w:ascii="Arial" w:hAnsi="Arial" w:cs="Arial"/>
          <w:color w:val="000000" w:themeColor="text1"/>
          <w:sz w:val="22"/>
          <w:szCs w:val="22"/>
        </w:rPr>
        <w:t>+</w:t>
      </w:r>
      <w:r w:rsidRPr="006346EC">
        <w:rPr>
          <w:rFonts w:ascii="Arial" w:hAnsi="Arial" w:cs="Arial"/>
          <w:color w:val="000000" w:themeColor="text1"/>
          <w:sz w:val="22"/>
          <w:szCs w:val="22"/>
        </w:rPr>
        <w:t xml:space="preserve"> undergraduate and graduate students, 1</w:t>
      </w:r>
      <w:r w:rsidR="004624F1" w:rsidRPr="006346EC">
        <w:rPr>
          <w:rFonts w:ascii="Arial" w:hAnsi="Arial" w:cs="Arial"/>
          <w:color w:val="000000" w:themeColor="text1"/>
          <w:sz w:val="22"/>
          <w:szCs w:val="22"/>
        </w:rPr>
        <w:t>8</w:t>
      </w:r>
      <w:r w:rsidRPr="006346EC">
        <w:rPr>
          <w:rFonts w:ascii="Arial" w:hAnsi="Arial" w:cs="Arial"/>
          <w:color w:val="000000" w:themeColor="text1"/>
          <w:sz w:val="22"/>
          <w:szCs w:val="22"/>
        </w:rPr>
        <w:t xml:space="preserve"> different colleges and over 400-degree programs. Ohio State consistently ranks among the top </w:t>
      </w:r>
      <w:r w:rsidR="00EB073F" w:rsidRPr="006346EC">
        <w:rPr>
          <w:rFonts w:ascii="Arial" w:hAnsi="Arial" w:cs="Arial"/>
          <w:color w:val="000000" w:themeColor="text1"/>
          <w:sz w:val="22"/>
          <w:szCs w:val="22"/>
        </w:rPr>
        <w:t>15</w:t>
      </w:r>
      <w:r w:rsidRPr="006346EC">
        <w:rPr>
          <w:rFonts w:ascii="Arial" w:hAnsi="Arial" w:cs="Arial"/>
          <w:color w:val="000000" w:themeColor="text1"/>
          <w:sz w:val="22"/>
          <w:szCs w:val="22"/>
        </w:rPr>
        <w:t xml:space="preserve"> national public universities according to U.S. News &amp; World Report. Faculty and staff participating in this proposal hold research and teaching positions from colleges across the university, including:</w:t>
      </w:r>
      <w:r w:rsidR="004624F1" w:rsidRPr="006346EC">
        <w:rPr>
          <w:rFonts w:ascii="Arial" w:hAnsi="Arial" w:cs="Arial"/>
          <w:color w:val="000000" w:themeColor="text1"/>
          <w:sz w:val="22"/>
          <w:szCs w:val="22"/>
        </w:rPr>
        <w:t xml:space="preserve"> </w:t>
      </w:r>
    </w:p>
    <w:p w14:paraId="77D7A086" w14:textId="77777777" w:rsidR="000F399E" w:rsidRPr="006346EC" w:rsidRDefault="000F399E" w:rsidP="006346EC">
      <w:pPr>
        <w:pStyle w:val="ListParagraph"/>
        <w:numPr>
          <w:ilvl w:val="0"/>
          <w:numId w:val="29"/>
        </w:numPr>
        <w:rPr>
          <w:rFonts w:ascii="Arial" w:hAnsi="Arial" w:cs="Arial"/>
          <w:color w:val="000000" w:themeColor="text1"/>
          <w:sz w:val="22"/>
          <w:szCs w:val="22"/>
        </w:rPr>
      </w:pPr>
      <w:r w:rsidRPr="006346EC">
        <w:rPr>
          <w:rFonts w:ascii="Arial" w:hAnsi="Arial" w:cs="Arial"/>
          <w:color w:val="000000" w:themeColor="text1"/>
          <w:sz w:val="22"/>
          <w:szCs w:val="22"/>
        </w:rPr>
        <w:t>College of Arts and Sciences</w:t>
      </w:r>
    </w:p>
    <w:p w14:paraId="263622E7" w14:textId="56B1DB25" w:rsidR="000F399E" w:rsidRPr="006346EC" w:rsidRDefault="000F399E" w:rsidP="006346EC">
      <w:pPr>
        <w:pStyle w:val="ListParagraph"/>
        <w:numPr>
          <w:ilvl w:val="0"/>
          <w:numId w:val="29"/>
        </w:numPr>
        <w:rPr>
          <w:rFonts w:ascii="Arial" w:hAnsi="Arial" w:cs="Arial"/>
          <w:color w:val="000000" w:themeColor="text1"/>
          <w:sz w:val="22"/>
          <w:szCs w:val="22"/>
        </w:rPr>
      </w:pPr>
      <w:r w:rsidRPr="006346EC">
        <w:rPr>
          <w:rFonts w:ascii="Arial" w:hAnsi="Arial" w:cs="Arial"/>
          <w:color w:val="000000" w:themeColor="text1"/>
          <w:sz w:val="22"/>
          <w:szCs w:val="22"/>
        </w:rPr>
        <w:t>Fisher College of Business</w:t>
      </w:r>
    </w:p>
    <w:p w14:paraId="05E5B2E4" w14:textId="77777777" w:rsidR="000F399E" w:rsidRPr="006346EC" w:rsidRDefault="000F399E" w:rsidP="006346EC">
      <w:pPr>
        <w:pStyle w:val="ListParagraph"/>
        <w:numPr>
          <w:ilvl w:val="0"/>
          <w:numId w:val="29"/>
        </w:numPr>
        <w:rPr>
          <w:rFonts w:ascii="Arial" w:hAnsi="Arial" w:cs="Arial"/>
          <w:color w:val="000000" w:themeColor="text1"/>
          <w:sz w:val="22"/>
          <w:szCs w:val="22"/>
        </w:rPr>
      </w:pPr>
      <w:r w:rsidRPr="006346EC">
        <w:rPr>
          <w:rFonts w:ascii="Arial" w:hAnsi="Arial" w:cs="Arial"/>
          <w:color w:val="000000" w:themeColor="text1"/>
          <w:sz w:val="22"/>
          <w:szCs w:val="22"/>
        </w:rPr>
        <w:t>College of Dentistry</w:t>
      </w:r>
    </w:p>
    <w:p w14:paraId="580C866E" w14:textId="77777777" w:rsidR="000F399E" w:rsidRPr="006346EC" w:rsidRDefault="000F399E" w:rsidP="006346EC">
      <w:pPr>
        <w:pStyle w:val="ListParagraph"/>
        <w:numPr>
          <w:ilvl w:val="0"/>
          <w:numId w:val="29"/>
        </w:numPr>
        <w:rPr>
          <w:rFonts w:ascii="Arial" w:hAnsi="Arial" w:cs="Arial"/>
          <w:color w:val="000000" w:themeColor="text1"/>
          <w:sz w:val="22"/>
          <w:szCs w:val="22"/>
        </w:rPr>
      </w:pPr>
      <w:r w:rsidRPr="006346EC">
        <w:rPr>
          <w:rFonts w:ascii="Arial" w:hAnsi="Arial" w:cs="Arial"/>
          <w:color w:val="000000" w:themeColor="text1"/>
          <w:sz w:val="22"/>
          <w:szCs w:val="22"/>
        </w:rPr>
        <w:t>College of Education and Human Ecology</w:t>
      </w:r>
    </w:p>
    <w:p w14:paraId="738E0D3D" w14:textId="77777777" w:rsidR="000F399E" w:rsidRPr="006346EC" w:rsidRDefault="000F399E" w:rsidP="006346EC">
      <w:pPr>
        <w:pStyle w:val="ListParagraph"/>
        <w:numPr>
          <w:ilvl w:val="0"/>
          <w:numId w:val="29"/>
        </w:numPr>
        <w:rPr>
          <w:rFonts w:ascii="Arial" w:hAnsi="Arial" w:cs="Arial"/>
          <w:color w:val="000000" w:themeColor="text1"/>
          <w:sz w:val="22"/>
          <w:szCs w:val="22"/>
        </w:rPr>
      </w:pPr>
      <w:r w:rsidRPr="006346EC">
        <w:rPr>
          <w:rFonts w:ascii="Arial" w:hAnsi="Arial" w:cs="Arial"/>
          <w:color w:val="000000" w:themeColor="text1"/>
          <w:sz w:val="22"/>
          <w:szCs w:val="22"/>
        </w:rPr>
        <w:t>College of Engineering</w:t>
      </w:r>
    </w:p>
    <w:p w14:paraId="739942FC" w14:textId="5E0194E1" w:rsidR="004624F1" w:rsidRPr="006346EC" w:rsidRDefault="004624F1" w:rsidP="006346EC">
      <w:pPr>
        <w:pStyle w:val="ListParagraph"/>
        <w:numPr>
          <w:ilvl w:val="0"/>
          <w:numId w:val="29"/>
        </w:numPr>
        <w:rPr>
          <w:rFonts w:ascii="Arial" w:hAnsi="Arial" w:cs="Arial"/>
          <w:color w:val="000000" w:themeColor="text1"/>
          <w:sz w:val="22"/>
          <w:szCs w:val="22"/>
        </w:rPr>
      </w:pPr>
      <w:r w:rsidRPr="006346EC">
        <w:rPr>
          <w:rFonts w:ascii="Arial" w:hAnsi="Arial" w:cs="Arial"/>
          <w:color w:val="000000" w:themeColor="text1"/>
          <w:sz w:val="22"/>
          <w:szCs w:val="22"/>
        </w:rPr>
        <w:t>Knowlton School of Architecture</w:t>
      </w:r>
    </w:p>
    <w:p w14:paraId="2B9ED0DA" w14:textId="77777777" w:rsidR="000F399E" w:rsidRPr="006346EC" w:rsidRDefault="000F399E" w:rsidP="006346EC">
      <w:pPr>
        <w:pStyle w:val="ListParagraph"/>
        <w:numPr>
          <w:ilvl w:val="0"/>
          <w:numId w:val="29"/>
        </w:numPr>
        <w:rPr>
          <w:rFonts w:ascii="Arial" w:hAnsi="Arial" w:cs="Arial"/>
          <w:color w:val="000000" w:themeColor="text1"/>
          <w:sz w:val="22"/>
          <w:szCs w:val="22"/>
        </w:rPr>
      </w:pPr>
      <w:r w:rsidRPr="006346EC">
        <w:rPr>
          <w:rFonts w:ascii="Arial" w:hAnsi="Arial" w:cs="Arial"/>
          <w:color w:val="000000" w:themeColor="text1"/>
          <w:sz w:val="22"/>
          <w:szCs w:val="22"/>
        </w:rPr>
        <w:t>College of Food, Agricultural, and Environmental Sciences</w:t>
      </w:r>
    </w:p>
    <w:p w14:paraId="4BD82C22" w14:textId="71F2F9ED" w:rsidR="004624F1" w:rsidRPr="006346EC" w:rsidRDefault="004624F1" w:rsidP="006346EC">
      <w:pPr>
        <w:pStyle w:val="ListParagraph"/>
        <w:numPr>
          <w:ilvl w:val="0"/>
          <w:numId w:val="29"/>
        </w:numPr>
        <w:rPr>
          <w:rFonts w:ascii="Arial" w:hAnsi="Arial" w:cs="Arial"/>
          <w:color w:val="000000" w:themeColor="text1"/>
          <w:sz w:val="22"/>
          <w:szCs w:val="22"/>
        </w:rPr>
      </w:pPr>
      <w:r w:rsidRPr="006346EC">
        <w:rPr>
          <w:rFonts w:ascii="Arial" w:hAnsi="Arial" w:cs="Arial"/>
          <w:color w:val="000000" w:themeColor="text1"/>
          <w:sz w:val="22"/>
          <w:szCs w:val="22"/>
        </w:rPr>
        <w:t>School of Environment and Natural Resources</w:t>
      </w:r>
    </w:p>
    <w:p w14:paraId="06BF000F" w14:textId="4069E2EC" w:rsidR="000F399E" w:rsidRPr="006346EC" w:rsidRDefault="000F399E" w:rsidP="006346EC">
      <w:pPr>
        <w:pStyle w:val="ListParagraph"/>
        <w:numPr>
          <w:ilvl w:val="0"/>
          <w:numId w:val="29"/>
        </w:numPr>
        <w:rPr>
          <w:rFonts w:ascii="Arial" w:hAnsi="Arial" w:cs="Arial"/>
          <w:color w:val="000000" w:themeColor="text1"/>
          <w:sz w:val="22"/>
          <w:szCs w:val="22"/>
        </w:rPr>
      </w:pPr>
      <w:r w:rsidRPr="006346EC">
        <w:rPr>
          <w:rFonts w:ascii="Arial" w:hAnsi="Arial" w:cs="Arial"/>
          <w:color w:val="000000" w:themeColor="text1"/>
          <w:sz w:val="22"/>
          <w:szCs w:val="22"/>
        </w:rPr>
        <w:t>Moritz College of Law</w:t>
      </w:r>
    </w:p>
    <w:p w14:paraId="6871F027" w14:textId="77777777" w:rsidR="000F399E" w:rsidRPr="006346EC" w:rsidRDefault="000F399E" w:rsidP="006346EC">
      <w:pPr>
        <w:pStyle w:val="ListParagraph"/>
        <w:numPr>
          <w:ilvl w:val="0"/>
          <w:numId w:val="29"/>
        </w:numPr>
        <w:rPr>
          <w:rFonts w:ascii="Arial" w:hAnsi="Arial" w:cs="Arial"/>
          <w:color w:val="000000" w:themeColor="text1"/>
          <w:sz w:val="22"/>
          <w:szCs w:val="22"/>
        </w:rPr>
      </w:pPr>
      <w:r w:rsidRPr="006346EC">
        <w:rPr>
          <w:rFonts w:ascii="Arial" w:hAnsi="Arial" w:cs="Arial"/>
          <w:color w:val="000000" w:themeColor="text1"/>
          <w:sz w:val="22"/>
          <w:szCs w:val="22"/>
        </w:rPr>
        <w:t>College of Medicine</w:t>
      </w:r>
    </w:p>
    <w:p w14:paraId="0311EBF4" w14:textId="0D79B8BB" w:rsidR="004624F1" w:rsidRPr="006346EC" w:rsidRDefault="004624F1" w:rsidP="006346EC">
      <w:pPr>
        <w:pStyle w:val="ListParagraph"/>
        <w:numPr>
          <w:ilvl w:val="0"/>
          <w:numId w:val="29"/>
        </w:numPr>
        <w:rPr>
          <w:rFonts w:ascii="Arial" w:hAnsi="Arial" w:cs="Arial"/>
          <w:color w:val="000000" w:themeColor="text1"/>
          <w:sz w:val="22"/>
          <w:szCs w:val="22"/>
        </w:rPr>
      </w:pPr>
      <w:r w:rsidRPr="006346EC">
        <w:rPr>
          <w:rFonts w:ascii="Arial" w:hAnsi="Arial" w:cs="Arial"/>
          <w:color w:val="000000" w:themeColor="text1"/>
          <w:sz w:val="22"/>
          <w:szCs w:val="22"/>
        </w:rPr>
        <w:t>School of Rehabilitation and Health Sciences</w:t>
      </w:r>
    </w:p>
    <w:p w14:paraId="7616E48D" w14:textId="77777777" w:rsidR="000F399E" w:rsidRPr="006346EC" w:rsidRDefault="000F399E" w:rsidP="006346EC">
      <w:pPr>
        <w:pStyle w:val="ListParagraph"/>
        <w:numPr>
          <w:ilvl w:val="0"/>
          <w:numId w:val="29"/>
        </w:numPr>
        <w:rPr>
          <w:rFonts w:ascii="Arial" w:hAnsi="Arial" w:cs="Arial"/>
          <w:color w:val="000000" w:themeColor="text1"/>
          <w:sz w:val="22"/>
          <w:szCs w:val="22"/>
        </w:rPr>
      </w:pPr>
      <w:r w:rsidRPr="006346EC">
        <w:rPr>
          <w:rFonts w:ascii="Arial" w:hAnsi="Arial" w:cs="Arial"/>
          <w:color w:val="000000" w:themeColor="text1"/>
          <w:sz w:val="22"/>
          <w:szCs w:val="22"/>
        </w:rPr>
        <w:t>College of Nursing</w:t>
      </w:r>
    </w:p>
    <w:p w14:paraId="674AF400" w14:textId="77777777" w:rsidR="000F399E" w:rsidRPr="006346EC" w:rsidRDefault="000F399E" w:rsidP="006346EC">
      <w:pPr>
        <w:pStyle w:val="ListParagraph"/>
        <w:numPr>
          <w:ilvl w:val="0"/>
          <w:numId w:val="29"/>
        </w:numPr>
        <w:rPr>
          <w:rFonts w:ascii="Arial" w:hAnsi="Arial" w:cs="Arial"/>
          <w:color w:val="000000" w:themeColor="text1"/>
          <w:sz w:val="22"/>
          <w:szCs w:val="22"/>
        </w:rPr>
      </w:pPr>
      <w:r w:rsidRPr="006346EC">
        <w:rPr>
          <w:rFonts w:ascii="Arial" w:hAnsi="Arial" w:cs="Arial"/>
          <w:color w:val="000000" w:themeColor="text1"/>
          <w:sz w:val="22"/>
          <w:szCs w:val="22"/>
        </w:rPr>
        <w:t>College of Optometry</w:t>
      </w:r>
    </w:p>
    <w:p w14:paraId="417F8ABA" w14:textId="77777777" w:rsidR="000F399E" w:rsidRPr="006346EC" w:rsidRDefault="000F399E" w:rsidP="006346EC">
      <w:pPr>
        <w:pStyle w:val="ListParagraph"/>
        <w:numPr>
          <w:ilvl w:val="0"/>
          <w:numId w:val="29"/>
        </w:numPr>
        <w:rPr>
          <w:rFonts w:ascii="Arial" w:hAnsi="Arial" w:cs="Arial"/>
          <w:color w:val="000000" w:themeColor="text1"/>
          <w:sz w:val="22"/>
          <w:szCs w:val="22"/>
        </w:rPr>
      </w:pPr>
      <w:r w:rsidRPr="006346EC">
        <w:rPr>
          <w:rFonts w:ascii="Arial" w:hAnsi="Arial" w:cs="Arial"/>
          <w:color w:val="000000" w:themeColor="text1"/>
          <w:sz w:val="22"/>
          <w:szCs w:val="22"/>
        </w:rPr>
        <w:t>College of Pharmacy</w:t>
      </w:r>
    </w:p>
    <w:p w14:paraId="54F9DC88" w14:textId="77777777" w:rsidR="000F399E" w:rsidRPr="006346EC" w:rsidRDefault="000F399E" w:rsidP="006346EC">
      <w:pPr>
        <w:pStyle w:val="ListParagraph"/>
        <w:numPr>
          <w:ilvl w:val="0"/>
          <w:numId w:val="29"/>
        </w:numPr>
        <w:rPr>
          <w:rFonts w:ascii="Arial" w:hAnsi="Arial" w:cs="Arial"/>
          <w:color w:val="000000" w:themeColor="text1"/>
          <w:sz w:val="22"/>
          <w:szCs w:val="22"/>
        </w:rPr>
      </w:pPr>
      <w:r w:rsidRPr="006346EC">
        <w:rPr>
          <w:rFonts w:ascii="Arial" w:hAnsi="Arial" w:cs="Arial"/>
          <w:color w:val="000000" w:themeColor="text1"/>
          <w:sz w:val="22"/>
          <w:szCs w:val="22"/>
        </w:rPr>
        <w:t>John Glenn College of Public Affairs</w:t>
      </w:r>
    </w:p>
    <w:p w14:paraId="108E3AE1" w14:textId="77777777" w:rsidR="000F399E" w:rsidRPr="006346EC" w:rsidRDefault="000F399E" w:rsidP="006346EC">
      <w:pPr>
        <w:pStyle w:val="ListParagraph"/>
        <w:numPr>
          <w:ilvl w:val="0"/>
          <w:numId w:val="29"/>
        </w:numPr>
        <w:rPr>
          <w:rFonts w:ascii="Arial" w:hAnsi="Arial" w:cs="Arial"/>
          <w:color w:val="000000" w:themeColor="text1"/>
          <w:sz w:val="22"/>
          <w:szCs w:val="22"/>
        </w:rPr>
      </w:pPr>
      <w:r w:rsidRPr="006346EC">
        <w:rPr>
          <w:rFonts w:ascii="Arial" w:hAnsi="Arial" w:cs="Arial"/>
          <w:color w:val="000000" w:themeColor="text1"/>
          <w:sz w:val="22"/>
          <w:szCs w:val="22"/>
        </w:rPr>
        <w:t>College of Public Health</w:t>
      </w:r>
    </w:p>
    <w:p w14:paraId="3B758BAD" w14:textId="77777777" w:rsidR="000F399E" w:rsidRPr="006346EC" w:rsidRDefault="000F399E" w:rsidP="006346EC">
      <w:pPr>
        <w:pStyle w:val="ListParagraph"/>
        <w:numPr>
          <w:ilvl w:val="0"/>
          <w:numId w:val="29"/>
        </w:numPr>
        <w:rPr>
          <w:rFonts w:ascii="Arial" w:hAnsi="Arial" w:cs="Arial"/>
          <w:color w:val="000000" w:themeColor="text1"/>
          <w:sz w:val="22"/>
          <w:szCs w:val="22"/>
        </w:rPr>
      </w:pPr>
      <w:r w:rsidRPr="006346EC">
        <w:rPr>
          <w:rFonts w:ascii="Arial" w:hAnsi="Arial" w:cs="Arial"/>
          <w:color w:val="000000" w:themeColor="text1"/>
          <w:sz w:val="22"/>
          <w:szCs w:val="22"/>
        </w:rPr>
        <w:t>College of Social Work</w:t>
      </w:r>
    </w:p>
    <w:p w14:paraId="277C3FB2" w14:textId="77777777" w:rsidR="000F399E" w:rsidRDefault="000F399E" w:rsidP="006346EC">
      <w:pPr>
        <w:pStyle w:val="ListParagraph"/>
        <w:numPr>
          <w:ilvl w:val="0"/>
          <w:numId w:val="29"/>
        </w:numPr>
        <w:rPr>
          <w:rFonts w:ascii="Arial" w:hAnsi="Arial" w:cs="Arial"/>
          <w:color w:val="000000" w:themeColor="text1"/>
          <w:sz w:val="22"/>
          <w:szCs w:val="22"/>
        </w:rPr>
      </w:pPr>
      <w:r w:rsidRPr="006346EC">
        <w:rPr>
          <w:rFonts w:ascii="Arial" w:hAnsi="Arial" w:cs="Arial"/>
          <w:color w:val="000000" w:themeColor="text1"/>
          <w:sz w:val="22"/>
          <w:szCs w:val="22"/>
        </w:rPr>
        <w:t>College of Veterinary Medicine</w:t>
      </w:r>
    </w:p>
    <w:p w14:paraId="58B2D67C" w14:textId="77777777" w:rsidR="00E107CD" w:rsidRPr="006346EC" w:rsidRDefault="00E107CD" w:rsidP="00E107CD">
      <w:pPr>
        <w:pStyle w:val="ListParagraph"/>
        <w:ind w:left="1440"/>
        <w:rPr>
          <w:rFonts w:ascii="Arial" w:hAnsi="Arial" w:cs="Arial"/>
          <w:color w:val="000000" w:themeColor="text1"/>
          <w:sz w:val="22"/>
          <w:szCs w:val="22"/>
        </w:rPr>
      </w:pPr>
    </w:p>
    <w:p w14:paraId="64A44CF4" w14:textId="77777777" w:rsidR="000F399E" w:rsidRPr="006346EC" w:rsidRDefault="000F399E" w:rsidP="006346EC">
      <w:pPr>
        <w:rPr>
          <w:rFonts w:ascii="Arial" w:hAnsi="Arial" w:cs="Arial"/>
          <w:color w:val="000000" w:themeColor="text1"/>
          <w:sz w:val="22"/>
          <w:szCs w:val="22"/>
        </w:rPr>
      </w:pPr>
    </w:p>
    <w:p w14:paraId="31E9BAE9" w14:textId="77777777" w:rsidR="00242AB1" w:rsidRPr="006346EC" w:rsidRDefault="00242AB1" w:rsidP="00242AB1">
      <w:pPr>
        <w:rPr>
          <w:rFonts w:ascii="Arial" w:hAnsi="Arial" w:cs="Arial"/>
          <w:b/>
          <w:bCs/>
          <w:color w:val="000000" w:themeColor="text1"/>
          <w:sz w:val="22"/>
          <w:szCs w:val="22"/>
          <w:u w:val="single"/>
        </w:rPr>
      </w:pPr>
      <w:r w:rsidRPr="006346EC">
        <w:rPr>
          <w:rFonts w:ascii="Arial" w:hAnsi="Arial" w:cs="Arial"/>
          <w:b/>
          <w:bCs/>
          <w:color w:val="000000" w:themeColor="text1"/>
          <w:sz w:val="22"/>
          <w:szCs w:val="22"/>
          <w:u w:val="single"/>
        </w:rPr>
        <w:t xml:space="preserve">College of Medicine </w:t>
      </w:r>
    </w:p>
    <w:p w14:paraId="6EB45043" w14:textId="77777777" w:rsidR="00242AB1" w:rsidRDefault="00242AB1" w:rsidP="00242AB1">
      <w:pPr>
        <w:rPr>
          <w:rFonts w:ascii="Arial" w:hAnsi="Arial" w:cs="Arial"/>
          <w:color w:val="000000" w:themeColor="text1"/>
          <w:sz w:val="22"/>
          <w:szCs w:val="22"/>
        </w:rPr>
      </w:pPr>
      <w:r w:rsidRPr="006346EC">
        <w:rPr>
          <w:rFonts w:ascii="Arial" w:hAnsi="Arial" w:cs="Arial"/>
          <w:color w:val="000000" w:themeColor="text1"/>
          <w:sz w:val="22"/>
          <w:szCs w:val="22"/>
        </w:rPr>
        <w:t xml:space="preserve">The Ohio State University College of Medicine has been a leader in innovative programs, initiatives and curriculum for more than a century. As one of the largest and most </w:t>
      </w:r>
      <w:proofErr w:type="gramStart"/>
      <w:r w:rsidRPr="006346EC">
        <w:rPr>
          <w:rFonts w:ascii="Arial" w:hAnsi="Arial" w:cs="Arial"/>
          <w:color w:val="000000" w:themeColor="text1"/>
          <w:sz w:val="22"/>
          <w:szCs w:val="22"/>
        </w:rPr>
        <w:t>highly-skilled</w:t>
      </w:r>
      <w:proofErr w:type="gramEnd"/>
      <w:r w:rsidRPr="006346EC">
        <w:rPr>
          <w:rFonts w:ascii="Arial" w:hAnsi="Arial" w:cs="Arial"/>
          <w:color w:val="000000" w:themeColor="text1"/>
          <w:sz w:val="22"/>
          <w:szCs w:val="22"/>
        </w:rPr>
        <w:t xml:space="preserve"> academic medical centers in </w:t>
      </w:r>
      <w:r w:rsidRPr="006346EC">
        <w:rPr>
          <w:rFonts w:ascii="Arial" w:hAnsi="Arial" w:cs="Arial"/>
          <w:color w:val="000000" w:themeColor="text1"/>
          <w:sz w:val="22"/>
          <w:szCs w:val="22"/>
        </w:rPr>
        <w:lastRenderedPageBreak/>
        <w:t>the country, it has trained more than 20,000 physicians and countless thousands of other affiliated health care professionals. The College of Medicine features 20 clinical departments, eight basic science departments and an outstanding School of Health and Rehabilitation Sciences offering undergraduate, master’s and PhD programs.</w:t>
      </w:r>
    </w:p>
    <w:p w14:paraId="16F5AB63" w14:textId="77777777" w:rsidR="00242AB1" w:rsidRPr="006346EC" w:rsidRDefault="00242AB1" w:rsidP="00242AB1">
      <w:pPr>
        <w:rPr>
          <w:rFonts w:ascii="Arial" w:hAnsi="Arial" w:cs="Arial"/>
          <w:color w:val="000000" w:themeColor="text1"/>
          <w:sz w:val="22"/>
          <w:szCs w:val="22"/>
        </w:rPr>
      </w:pPr>
    </w:p>
    <w:p w14:paraId="0E291CD0" w14:textId="10A76822" w:rsidR="000F399E" w:rsidRPr="00242AB1" w:rsidRDefault="00242AB1" w:rsidP="006346EC">
      <w:pPr>
        <w:rPr>
          <w:rFonts w:ascii="Arial" w:hAnsi="Arial" w:cs="Arial"/>
          <w:b/>
          <w:bCs/>
          <w:color w:val="000000" w:themeColor="text1"/>
          <w:sz w:val="22"/>
          <w:szCs w:val="22"/>
          <w:u w:val="single"/>
        </w:rPr>
      </w:pPr>
      <w:r w:rsidRPr="00242AB1">
        <w:rPr>
          <w:rFonts w:ascii="Arial" w:hAnsi="Arial" w:cs="Arial"/>
          <w:b/>
          <w:bCs/>
          <w:color w:val="000000" w:themeColor="text1"/>
          <w:sz w:val="22"/>
          <w:szCs w:val="22"/>
          <w:u w:val="single"/>
        </w:rPr>
        <w:t>Ohio State University Wexner Medical Center</w:t>
      </w:r>
    </w:p>
    <w:p w14:paraId="5A4307D1" w14:textId="0E7C7F1A" w:rsidR="000F399E" w:rsidRPr="006346EC" w:rsidRDefault="000F399E" w:rsidP="006346EC">
      <w:pPr>
        <w:rPr>
          <w:rFonts w:ascii="Arial" w:hAnsi="Arial" w:cs="Arial"/>
          <w:color w:val="000000" w:themeColor="text1"/>
          <w:sz w:val="22"/>
          <w:szCs w:val="22"/>
        </w:rPr>
      </w:pPr>
      <w:r w:rsidRPr="006346EC">
        <w:rPr>
          <w:rFonts w:ascii="Arial" w:hAnsi="Arial" w:cs="Arial"/>
          <w:color w:val="000000" w:themeColor="text1"/>
          <w:sz w:val="22"/>
          <w:szCs w:val="22"/>
        </w:rPr>
        <w:t xml:space="preserve">The Ohio State University Wexner Medical Center is one of the largest and most </w:t>
      </w:r>
      <w:proofErr w:type="gramStart"/>
      <w:r w:rsidR="002D0029" w:rsidRPr="006346EC">
        <w:rPr>
          <w:rFonts w:ascii="Arial" w:hAnsi="Arial" w:cs="Arial"/>
          <w:color w:val="000000" w:themeColor="text1"/>
          <w:sz w:val="22"/>
          <w:szCs w:val="22"/>
        </w:rPr>
        <w:t>highly-skilled</w:t>
      </w:r>
      <w:proofErr w:type="gramEnd"/>
      <w:r w:rsidRPr="006346EC">
        <w:rPr>
          <w:rFonts w:ascii="Arial" w:hAnsi="Arial" w:cs="Arial"/>
          <w:color w:val="000000" w:themeColor="text1"/>
          <w:sz w:val="22"/>
          <w:szCs w:val="22"/>
        </w:rPr>
        <w:t xml:space="preserve"> academic medical centers in the country. It is consistently ranked in “Best Hospital” by U.S. News &amp; World Report Magazine and boasts </w:t>
      </w:r>
      <w:r w:rsidR="008307F3" w:rsidRPr="006346EC">
        <w:rPr>
          <w:rFonts w:ascii="Arial" w:hAnsi="Arial" w:cs="Arial"/>
          <w:color w:val="000000" w:themeColor="text1"/>
          <w:sz w:val="22"/>
          <w:szCs w:val="22"/>
        </w:rPr>
        <w:t>eight</w:t>
      </w:r>
      <w:r w:rsidRPr="006346EC">
        <w:rPr>
          <w:rFonts w:ascii="Arial" w:hAnsi="Arial" w:cs="Arial"/>
          <w:color w:val="000000" w:themeColor="text1"/>
          <w:sz w:val="22"/>
          <w:szCs w:val="22"/>
        </w:rPr>
        <w:t xml:space="preserve"> specialties ranked among the best in the country. The University Health System Consortium has also ranked it in the top ten academic medical centers nationally in quality and accountability measurements. </w:t>
      </w:r>
      <w:r w:rsidR="008307F3" w:rsidRPr="006346EC">
        <w:rPr>
          <w:rFonts w:ascii="Arial" w:hAnsi="Arial" w:cs="Arial"/>
          <w:color w:val="000000" w:themeColor="text1"/>
          <w:sz w:val="22"/>
          <w:szCs w:val="22"/>
        </w:rPr>
        <w:t xml:space="preserve">The </w:t>
      </w:r>
      <w:r w:rsidRPr="006346EC">
        <w:rPr>
          <w:rFonts w:ascii="Arial" w:hAnsi="Arial" w:cs="Arial"/>
          <w:color w:val="000000" w:themeColor="text1"/>
          <w:sz w:val="22"/>
          <w:szCs w:val="22"/>
        </w:rPr>
        <w:t>Wexner Medical Center is recognized for its leadership and innovation in information technology, including the development of a system-wide computerized recordkeeping system that allows the paperless and confidential exchange of clinical information.</w:t>
      </w:r>
    </w:p>
    <w:p w14:paraId="588FB5DD" w14:textId="77777777" w:rsidR="000F399E" w:rsidRPr="006346EC" w:rsidRDefault="000F399E" w:rsidP="006346EC">
      <w:pPr>
        <w:rPr>
          <w:rFonts w:ascii="Arial" w:hAnsi="Arial" w:cs="Arial"/>
          <w:color w:val="000000" w:themeColor="text1"/>
          <w:sz w:val="22"/>
          <w:szCs w:val="22"/>
        </w:rPr>
      </w:pPr>
    </w:p>
    <w:p w14:paraId="51C49BB2" w14:textId="77777777" w:rsidR="00C31BD7" w:rsidRPr="006346EC" w:rsidRDefault="000F399E" w:rsidP="006346EC">
      <w:pPr>
        <w:rPr>
          <w:rFonts w:ascii="Arial" w:hAnsi="Arial" w:cs="Arial"/>
          <w:color w:val="000000" w:themeColor="text1"/>
          <w:sz w:val="22"/>
          <w:szCs w:val="22"/>
        </w:rPr>
      </w:pPr>
      <w:r w:rsidRPr="006346EC">
        <w:rPr>
          <w:rFonts w:ascii="Arial" w:hAnsi="Arial" w:cs="Arial"/>
          <w:color w:val="000000" w:themeColor="text1"/>
          <w:sz w:val="22"/>
          <w:szCs w:val="22"/>
        </w:rPr>
        <w:t xml:space="preserve">Wexner Medical Center expert physicians and researchers are leaders in personalized health care, giving people access to unique disease prevention and treatment options based on their own genetic makeup and lifestyle. Wexner Medical Center includes the College of Medicine, seven hospitals, a Comprehensive Cancer Center, more than </w:t>
      </w:r>
      <w:r w:rsidR="00EB073F" w:rsidRPr="006346EC">
        <w:rPr>
          <w:rFonts w:ascii="Arial" w:hAnsi="Arial" w:cs="Arial"/>
          <w:color w:val="000000" w:themeColor="text1"/>
          <w:sz w:val="22"/>
          <w:szCs w:val="22"/>
        </w:rPr>
        <w:t>45</w:t>
      </w:r>
      <w:r w:rsidRPr="006346EC">
        <w:rPr>
          <w:rFonts w:ascii="Arial" w:hAnsi="Arial" w:cs="Arial"/>
          <w:color w:val="000000" w:themeColor="text1"/>
          <w:sz w:val="22"/>
          <w:szCs w:val="22"/>
        </w:rPr>
        <w:t xml:space="preserve"> research centers and institutes, numerous outpatient clinics and multiple other services, core laboratories and more than </w:t>
      </w:r>
      <w:r w:rsidR="00EB073F" w:rsidRPr="006346EC">
        <w:rPr>
          <w:rFonts w:ascii="Arial" w:hAnsi="Arial" w:cs="Arial"/>
          <w:color w:val="000000" w:themeColor="text1"/>
          <w:sz w:val="22"/>
          <w:szCs w:val="22"/>
        </w:rPr>
        <w:t>3</w:t>
      </w:r>
      <w:r w:rsidRPr="006346EC">
        <w:rPr>
          <w:rFonts w:ascii="Arial" w:hAnsi="Arial" w:cs="Arial"/>
          <w:color w:val="000000" w:themeColor="text1"/>
          <w:sz w:val="22"/>
          <w:szCs w:val="22"/>
        </w:rPr>
        <w:t xml:space="preserve">,000 active clinical trials in virtually every medical specialty. Wexner Medical Center also includes a unified physician practice, representing more than </w:t>
      </w:r>
      <w:r w:rsidR="00EB073F" w:rsidRPr="006346EC">
        <w:rPr>
          <w:rFonts w:ascii="Arial" w:hAnsi="Arial" w:cs="Arial"/>
          <w:color w:val="000000" w:themeColor="text1"/>
          <w:sz w:val="22"/>
          <w:szCs w:val="22"/>
        </w:rPr>
        <w:t>2,00</w:t>
      </w:r>
      <w:r w:rsidRPr="006346EC">
        <w:rPr>
          <w:rFonts w:ascii="Arial" w:hAnsi="Arial" w:cs="Arial"/>
          <w:color w:val="000000" w:themeColor="text1"/>
          <w:sz w:val="22"/>
          <w:szCs w:val="22"/>
        </w:rPr>
        <w:t xml:space="preserve">0 pre-eminent physicians and a network of community-based primary and subspecialty care facilities that manage more than </w:t>
      </w:r>
      <w:r w:rsidR="00EB073F" w:rsidRPr="006346EC">
        <w:rPr>
          <w:rFonts w:ascii="Arial" w:hAnsi="Arial" w:cs="Arial"/>
          <w:color w:val="000000" w:themeColor="text1"/>
          <w:sz w:val="22"/>
          <w:szCs w:val="22"/>
        </w:rPr>
        <w:t>2 million</w:t>
      </w:r>
      <w:r w:rsidRPr="006346EC">
        <w:rPr>
          <w:rFonts w:ascii="Arial" w:hAnsi="Arial" w:cs="Arial"/>
          <w:color w:val="000000" w:themeColor="text1"/>
          <w:sz w:val="22"/>
          <w:szCs w:val="22"/>
        </w:rPr>
        <w:t xml:space="preserve"> patient visits each year. </w:t>
      </w:r>
    </w:p>
    <w:p w14:paraId="543552A8" w14:textId="77777777" w:rsidR="00C31BD7" w:rsidRPr="006346EC" w:rsidRDefault="00C31BD7" w:rsidP="006346EC">
      <w:pPr>
        <w:rPr>
          <w:rFonts w:ascii="Arial" w:hAnsi="Arial" w:cs="Arial"/>
          <w:color w:val="000000" w:themeColor="text1"/>
          <w:sz w:val="22"/>
          <w:szCs w:val="22"/>
        </w:rPr>
      </w:pPr>
    </w:p>
    <w:p w14:paraId="587030B3" w14:textId="7E15A806" w:rsidR="00C31BD7" w:rsidRPr="006346EC" w:rsidRDefault="00470B76" w:rsidP="006346EC">
      <w:pPr>
        <w:rPr>
          <w:rFonts w:ascii="Arial" w:hAnsi="Arial" w:cs="Arial"/>
          <w:color w:val="000000" w:themeColor="text1"/>
          <w:sz w:val="22"/>
          <w:szCs w:val="22"/>
        </w:rPr>
      </w:pPr>
      <w:r>
        <w:rPr>
          <w:rFonts w:ascii="Arial" w:eastAsia="Calibri" w:hAnsi="Arial" w:cs="Arial"/>
          <w:b/>
          <w:color w:val="000000" w:themeColor="text1"/>
          <w:sz w:val="22"/>
          <w:szCs w:val="22"/>
        </w:rPr>
        <w:t xml:space="preserve">Ohio State </w:t>
      </w:r>
      <w:r w:rsidR="00C31BD7" w:rsidRPr="006346EC">
        <w:rPr>
          <w:rFonts w:ascii="Arial" w:eastAsia="Calibri" w:hAnsi="Arial" w:cs="Arial"/>
          <w:b/>
          <w:color w:val="000000" w:themeColor="text1"/>
          <w:sz w:val="22"/>
          <w:szCs w:val="22"/>
        </w:rPr>
        <w:t>Wexner Medical Center (OSUWMC) Inpatient Hospital</w:t>
      </w:r>
    </w:p>
    <w:p w14:paraId="63091A9E" w14:textId="77777777" w:rsidR="00C31BD7" w:rsidRDefault="00C31BD7" w:rsidP="006346EC">
      <w:pPr>
        <w:widowControl w:val="0"/>
        <w:tabs>
          <w:tab w:val="left" w:pos="6660"/>
          <w:tab w:val="left" w:pos="10710"/>
        </w:tabs>
        <w:rPr>
          <w:rFonts w:ascii="Arial" w:hAnsi="Arial" w:cs="Arial"/>
          <w:bCs/>
          <w:snapToGrid w:val="0"/>
          <w:color w:val="000000" w:themeColor="text1"/>
          <w:sz w:val="22"/>
          <w:szCs w:val="22"/>
        </w:rPr>
      </w:pPr>
      <w:r w:rsidRPr="006346EC">
        <w:rPr>
          <w:rFonts w:ascii="Arial" w:hAnsi="Arial" w:cs="Arial"/>
          <w:bCs/>
          <w:snapToGrid w:val="0"/>
          <w:color w:val="000000" w:themeColor="text1"/>
          <w:sz w:val="22"/>
          <w:szCs w:val="22"/>
        </w:rPr>
        <w:t>University Hospital had a total project cost of $1.9 billion and is located east of Cannon Drive. It creates stronger connections with OSUCCC–James, Rhodes Hall, Doan Hall, the Richard M. Ross Heart Hospital and the Brain and Spine Hospital. The 26-story, 1.9 million-square-foot University Hospital is the largest single facilities project ever undertaken at Ohio State with up to 820 beds in private-room settings to elevate patient-centered care, safety and training for the next generation of health care providers. The new University Hospital tower is designed to be a state-of-the-art healing environment focused on patient privacy and advanced medical technology significantly expands Ohio State's capacity for specialized care, including organ transplants, oncology, and critical care. The tower connects directly to the James Cancer Hospital on every floor, functioning as a single integrated medical campus. The facility opened in February 2026 after years of planning that advanced Framework 2.0, the university’s long-term planning vision, as well as the WMC strategic plan.</w:t>
      </w:r>
    </w:p>
    <w:p w14:paraId="76BBF1D3" w14:textId="77777777" w:rsidR="006346EC" w:rsidRPr="006346EC" w:rsidRDefault="006346EC" w:rsidP="006346EC">
      <w:pPr>
        <w:widowControl w:val="0"/>
        <w:tabs>
          <w:tab w:val="left" w:pos="6660"/>
          <w:tab w:val="left" w:pos="10710"/>
        </w:tabs>
        <w:rPr>
          <w:rFonts w:ascii="Arial" w:hAnsi="Arial" w:cs="Arial"/>
          <w:bCs/>
          <w:snapToGrid w:val="0"/>
          <w:color w:val="000000" w:themeColor="text1"/>
          <w:sz w:val="22"/>
          <w:szCs w:val="22"/>
        </w:rPr>
      </w:pPr>
    </w:p>
    <w:p w14:paraId="6F4F0633" w14:textId="77777777" w:rsidR="00C31BD7" w:rsidRPr="006346EC" w:rsidRDefault="00C31BD7" w:rsidP="006346EC">
      <w:pPr>
        <w:widowControl w:val="0"/>
        <w:tabs>
          <w:tab w:val="left" w:pos="6660"/>
          <w:tab w:val="left" w:pos="10710"/>
        </w:tabs>
        <w:rPr>
          <w:rFonts w:ascii="Arial" w:hAnsi="Arial" w:cs="Arial"/>
          <w:bCs/>
          <w:snapToGrid w:val="0"/>
          <w:color w:val="000000" w:themeColor="text1"/>
          <w:sz w:val="22"/>
          <w:szCs w:val="22"/>
        </w:rPr>
      </w:pPr>
      <w:r w:rsidRPr="006346EC">
        <w:rPr>
          <w:rFonts w:ascii="Arial" w:hAnsi="Arial" w:cs="Arial"/>
          <w:bCs/>
          <w:snapToGrid w:val="0"/>
          <w:color w:val="000000" w:themeColor="text1"/>
          <w:sz w:val="22"/>
          <w:szCs w:val="22"/>
        </w:rPr>
        <w:t>Additional project details include:</w:t>
      </w:r>
    </w:p>
    <w:p w14:paraId="45ADB475" w14:textId="77777777" w:rsidR="00C31BD7" w:rsidRPr="006346EC" w:rsidRDefault="00C31BD7" w:rsidP="006346EC">
      <w:pPr>
        <w:widowControl w:val="0"/>
        <w:numPr>
          <w:ilvl w:val="0"/>
          <w:numId w:val="30"/>
        </w:numPr>
        <w:tabs>
          <w:tab w:val="left" w:pos="6660"/>
          <w:tab w:val="left" w:pos="10710"/>
        </w:tabs>
        <w:rPr>
          <w:rFonts w:ascii="Arial" w:eastAsia="Calibri" w:hAnsi="Arial" w:cs="Arial"/>
          <w:bCs/>
          <w:snapToGrid w:val="0"/>
          <w:color w:val="000000" w:themeColor="text1"/>
          <w:sz w:val="22"/>
          <w:szCs w:val="22"/>
        </w:rPr>
      </w:pPr>
      <w:r w:rsidRPr="006346EC">
        <w:rPr>
          <w:rFonts w:ascii="Arial" w:eastAsia="Calibri" w:hAnsi="Arial" w:cs="Arial"/>
          <w:bCs/>
          <w:snapToGrid w:val="0"/>
          <w:color w:val="000000" w:themeColor="text1"/>
          <w:sz w:val="22"/>
          <w:szCs w:val="22"/>
        </w:rPr>
        <w:t>Up to 820 beds, replacing and expanding on the 440 beds in Rhodes Hall and Doan Hall, including 234 intensive care unit (ICU) beds.</w:t>
      </w:r>
    </w:p>
    <w:p w14:paraId="33F0D5EE" w14:textId="77777777" w:rsidR="00C31BD7" w:rsidRPr="006346EC" w:rsidRDefault="00C31BD7" w:rsidP="006346EC">
      <w:pPr>
        <w:widowControl w:val="0"/>
        <w:numPr>
          <w:ilvl w:val="0"/>
          <w:numId w:val="30"/>
        </w:numPr>
        <w:tabs>
          <w:tab w:val="left" w:pos="6660"/>
          <w:tab w:val="left" w:pos="10710"/>
        </w:tabs>
        <w:rPr>
          <w:rFonts w:ascii="Arial" w:eastAsia="Calibri" w:hAnsi="Arial" w:cs="Arial"/>
          <w:bCs/>
          <w:snapToGrid w:val="0"/>
          <w:color w:val="000000" w:themeColor="text1"/>
          <w:sz w:val="22"/>
          <w:szCs w:val="22"/>
        </w:rPr>
      </w:pPr>
      <w:r w:rsidRPr="006346EC">
        <w:rPr>
          <w:rFonts w:ascii="Arial" w:eastAsia="Calibri" w:hAnsi="Arial" w:cs="Arial"/>
          <w:bCs/>
          <w:snapToGrid w:val="0"/>
          <w:color w:val="000000" w:themeColor="text1"/>
          <w:sz w:val="22"/>
          <w:szCs w:val="22"/>
        </w:rPr>
        <w:t>The OSUCCC–James gains 148 beds – 84 new and 64 resulting from construction backfilling.</w:t>
      </w:r>
    </w:p>
    <w:p w14:paraId="394BD4BE" w14:textId="77777777" w:rsidR="00C31BD7" w:rsidRPr="006346EC" w:rsidRDefault="00C31BD7" w:rsidP="006346EC">
      <w:pPr>
        <w:widowControl w:val="0"/>
        <w:numPr>
          <w:ilvl w:val="0"/>
          <w:numId w:val="30"/>
        </w:numPr>
        <w:tabs>
          <w:tab w:val="left" w:pos="6660"/>
          <w:tab w:val="left" w:pos="10710"/>
        </w:tabs>
        <w:rPr>
          <w:rFonts w:ascii="Arial" w:eastAsia="Calibri" w:hAnsi="Arial" w:cs="Arial"/>
          <w:bCs/>
          <w:snapToGrid w:val="0"/>
          <w:color w:val="000000" w:themeColor="text1"/>
          <w:sz w:val="22"/>
          <w:szCs w:val="22"/>
        </w:rPr>
      </w:pPr>
      <w:r w:rsidRPr="006346EC">
        <w:rPr>
          <w:rFonts w:ascii="Arial" w:eastAsia="Calibri" w:hAnsi="Arial" w:cs="Arial"/>
          <w:bCs/>
          <w:snapToGrid w:val="0"/>
          <w:color w:val="000000" w:themeColor="text1"/>
          <w:sz w:val="22"/>
          <w:szCs w:val="22"/>
        </w:rPr>
        <w:t>Maternity Care: The top three floors are dedicated to women’s health, labor, and delivery, featuring the region’s only Level 4 maternity care and 51 neonatal intensive care (NICU) beds.</w:t>
      </w:r>
    </w:p>
    <w:p w14:paraId="2D2D493A" w14:textId="77777777" w:rsidR="00C31BD7" w:rsidRPr="006346EC" w:rsidRDefault="00C31BD7" w:rsidP="006346EC">
      <w:pPr>
        <w:widowControl w:val="0"/>
        <w:numPr>
          <w:ilvl w:val="0"/>
          <w:numId w:val="30"/>
        </w:numPr>
        <w:tabs>
          <w:tab w:val="left" w:pos="6660"/>
          <w:tab w:val="left" w:pos="10710"/>
        </w:tabs>
        <w:rPr>
          <w:rFonts w:ascii="Arial" w:eastAsia="Calibri" w:hAnsi="Arial" w:cs="Arial"/>
          <w:bCs/>
          <w:snapToGrid w:val="0"/>
          <w:color w:val="000000" w:themeColor="text1"/>
          <w:sz w:val="22"/>
          <w:szCs w:val="22"/>
        </w:rPr>
      </w:pPr>
      <w:r w:rsidRPr="006346EC">
        <w:rPr>
          <w:rFonts w:ascii="Arial" w:eastAsia="Calibri" w:hAnsi="Arial" w:cs="Arial"/>
          <w:bCs/>
          <w:snapToGrid w:val="0"/>
          <w:color w:val="000000" w:themeColor="text1"/>
          <w:sz w:val="22"/>
          <w:szCs w:val="22"/>
        </w:rPr>
        <w:t>State-of-the-art diagnostic, treatment and inpatient service areas; imaging; operating rooms; and critical care and medical/surgical beds.</w:t>
      </w:r>
    </w:p>
    <w:p w14:paraId="3D5F057F" w14:textId="77777777" w:rsidR="00C31BD7" w:rsidRPr="006346EC" w:rsidRDefault="00C31BD7" w:rsidP="006346EC">
      <w:pPr>
        <w:widowControl w:val="0"/>
        <w:numPr>
          <w:ilvl w:val="0"/>
          <w:numId w:val="30"/>
        </w:numPr>
        <w:tabs>
          <w:tab w:val="left" w:pos="6660"/>
          <w:tab w:val="left" w:pos="10710"/>
        </w:tabs>
        <w:rPr>
          <w:rFonts w:ascii="Arial" w:eastAsia="Calibri" w:hAnsi="Arial" w:cs="Arial"/>
          <w:bCs/>
          <w:snapToGrid w:val="0"/>
          <w:color w:val="000000" w:themeColor="text1"/>
          <w:sz w:val="22"/>
          <w:szCs w:val="22"/>
        </w:rPr>
      </w:pPr>
      <w:r w:rsidRPr="006346EC">
        <w:rPr>
          <w:rFonts w:ascii="Arial" w:eastAsia="Calibri" w:hAnsi="Arial" w:cs="Arial"/>
          <w:bCs/>
          <w:snapToGrid w:val="0"/>
          <w:color w:val="000000" w:themeColor="text1"/>
          <w:sz w:val="22"/>
          <w:szCs w:val="22"/>
        </w:rPr>
        <w:t>Specialty Centers: Houses the region’s only adult burn and organ transplant centers, as well as units for neurology and surgery.</w:t>
      </w:r>
    </w:p>
    <w:p w14:paraId="0162A14C" w14:textId="77777777" w:rsidR="00C31BD7" w:rsidRPr="006346EC" w:rsidRDefault="00C31BD7" w:rsidP="006346EC">
      <w:pPr>
        <w:widowControl w:val="0"/>
        <w:numPr>
          <w:ilvl w:val="0"/>
          <w:numId w:val="30"/>
        </w:numPr>
        <w:tabs>
          <w:tab w:val="left" w:pos="6660"/>
          <w:tab w:val="left" w:pos="10710"/>
        </w:tabs>
        <w:rPr>
          <w:rFonts w:ascii="Arial" w:eastAsia="Calibri" w:hAnsi="Arial" w:cs="Arial"/>
          <w:bCs/>
          <w:snapToGrid w:val="0"/>
          <w:color w:val="000000" w:themeColor="text1"/>
          <w:sz w:val="22"/>
          <w:szCs w:val="22"/>
        </w:rPr>
      </w:pPr>
      <w:r w:rsidRPr="006346EC">
        <w:rPr>
          <w:rFonts w:ascii="Arial" w:eastAsia="Calibri" w:hAnsi="Arial" w:cs="Arial"/>
          <w:bCs/>
          <w:snapToGrid w:val="0"/>
          <w:color w:val="000000" w:themeColor="text1"/>
          <w:sz w:val="22"/>
          <w:szCs w:val="22"/>
        </w:rPr>
        <w:t>Surgical Services: Includes 24 operating rooms, featuring two hybrid neurovascular suites for complex stroke care</w:t>
      </w:r>
    </w:p>
    <w:p w14:paraId="3FD29103" w14:textId="77777777" w:rsidR="00C31BD7" w:rsidRPr="006346EC" w:rsidRDefault="00C31BD7" w:rsidP="006346EC">
      <w:pPr>
        <w:widowControl w:val="0"/>
        <w:numPr>
          <w:ilvl w:val="0"/>
          <w:numId w:val="30"/>
        </w:numPr>
        <w:tabs>
          <w:tab w:val="left" w:pos="6660"/>
          <w:tab w:val="left" w:pos="10710"/>
        </w:tabs>
        <w:rPr>
          <w:rFonts w:ascii="Arial" w:eastAsia="Calibri" w:hAnsi="Arial" w:cs="Arial"/>
          <w:bCs/>
          <w:snapToGrid w:val="0"/>
          <w:color w:val="000000" w:themeColor="text1"/>
          <w:sz w:val="22"/>
          <w:szCs w:val="22"/>
        </w:rPr>
      </w:pPr>
      <w:r w:rsidRPr="006346EC">
        <w:rPr>
          <w:rFonts w:ascii="Arial" w:eastAsia="Calibri" w:hAnsi="Arial" w:cs="Arial"/>
          <w:bCs/>
          <w:snapToGrid w:val="0"/>
          <w:color w:val="000000" w:themeColor="text1"/>
          <w:sz w:val="22"/>
          <w:szCs w:val="22"/>
        </w:rPr>
        <w:t>Renovated OSUCCC–James and Ross Heart Hospital for blood bank, support services and building connections.</w:t>
      </w:r>
    </w:p>
    <w:p w14:paraId="0C1206F9" w14:textId="77777777" w:rsidR="00C31BD7" w:rsidRPr="006346EC" w:rsidRDefault="00C31BD7" w:rsidP="006346EC">
      <w:pPr>
        <w:widowControl w:val="0"/>
        <w:numPr>
          <w:ilvl w:val="0"/>
          <w:numId w:val="30"/>
        </w:numPr>
        <w:tabs>
          <w:tab w:val="left" w:pos="6660"/>
          <w:tab w:val="left" w:pos="10710"/>
        </w:tabs>
        <w:rPr>
          <w:rFonts w:ascii="Arial" w:eastAsia="Calibri" w:hAnsi="Arial" w:cs="Arial"/>
          <w:bCs/>
          <w:snapToGrid w:val="0"/>
          <w:color w:val="000000" w:themeColor="text1"/>
          <w:sz w:val="22"/>
          <w:szCs w:val="22"/>
        </w:rPr>
      </w:pPr>
      <w:r w:rsidRPr="006346EC">
        <w:rPr>
          <w:rFonts w:ascii="Arial" w:eastAsia="Calibri" w:hAnsi="Arial" w:cs="Arial"/>
          <w:bCs/>
          <w:snapToGrid w:val="0"/>
          <w:color w:val="000000" w:themeColor="text1"/>
          <w:sz w:val="22"/>
          <w:szCs w:val="22"/>
        </w:rPr>
        <w:t>A new Wexner Medical Center Garage with 1,880+ spaces to serve patients and visitors.</w:t>
      </w:r>
    </w:p>
    <w:p w14:paraId="2AA22619" w14:textId="77777777" w:rsidR="00C31BD7" w:rsidRPr="006346EC" w:rsidRDefault="00C31BD7" w:rsidP="006346EC">
      <w:pPr>
        <w:pStyle w:val="ListParagraph"/>
        <w:widowControl w:val="0"/>
        <w:numPr>
          <w:ilvl w:val="0"/>
          <w:numId w:val="30"/>
        </w:numPr>
        <w:rPr>
          <w:rFonts w:ascii="Arial" w:hAnsi="Arial" w:cs="Arial"/>
          <w:bCs/>
          <w:color w:val="000000" w:themeColor="text1"/>
          <w:sz w:val="22"/>
          <w:szCs w:val="22"/>
        </w:rPr>
      </w:pPr>
      <w:r w:rsidRPr="006346EC">
        <w:rPr>
          <w:rFonts w:ascii="Arial" w:hAnsi="Arial" w:cs="Arial"/>
          <w:color w:val="000000" w:themeColor="text1"/>
          <w:sz w:val="22"/>
          <w:szCs w:val="22"/>
        </w:rPr>
        <w:t>With the opening of the new OSUWMC tower in 2026, The James expands beds from 356 to 504, making it the second largest dedicated cancer hospital in the country. The tower combines modern inpatient rooms with educational space, leading-edge research, and clinical training.</w:t>
      </w:r>
      <w:r w:rsidRPr="006346EC">
        <w:rPr>
          <w:rFonts w:ascii="Arial" w:hAnsi="Arial" w:cs="Arial"/>
          <w:bCs/>
          <w:color w:val="000000" w:themeColor="text1"/>
          <w:sz w:val="22"/>
          <w:szCs w:val="22"/>
        </w:rPr>
        <w:t xml:space="preserve"> </w:t>
      </w:r>
    </w:p>
    <w:p w14:paraId="7D88CA13" w14:textId="77777777" w:rsidR="000F399E" w:rsidRPr="006346EC" w:rsidRDefault="000F399E" w:rsidP="006346EC">
      <w:pPr>
        <w:rPr>
          <w:rFonts w:ascii="Arial" w:hAnsi="Arial" w:cs="Arial"/>
          <w:color w:val="000000" w:themeColor="text1"/>
          <w:sz w:val="22"/>
          <w:szCs w:val="22"/>
        </w:rPr>
      </w:pPr>
    </w:p>
    <w:p w14:paraId="29972E51" w14:textId="77777777" w:rsidR="006346EC" w:rsidRPr="006346EC" w:rsidRDefault="006346EC" w:rsidP="006346EC">
      <w:pPr>
        <w:rPr>
          <w:rFonts w:ascii="Arial" w:hAnsi="Arial" w:cs="Arial"/>
          <w:color w:val="000000" w:themeColor="text1"/>
          <w:sz w:val="22"/>
          <w:szCs w:val="22"/>
        </w:rPr>
      </w:pPr>
    </w:p>
    <w:p w14:paraId="54E534D5" w14:textId="77777777" w:rsidR="006346EC" w:rsidRPr="006346EC" w:rsidRDefault="006346EC" w:rsidP="006346EC">
      <w:pPr>
        <w:widowControl w:val="0"/>
        <w:rPr>
          <w:rFonts w:ascii="Arial" w:hAnsi="Arial" w:cs="Arial"/>
          <w:snapToGrid w:val="0"/>
          <w:color w:val="000000" w:themeColor="text1"/>
          <w:sz w:val="22"/>
          <w:szCs w:val="22"/>
        </w:rPr>
      </w:pPr>
      <w:r w:rsidRPr="006346EC">
        <w:rPr>
          <w:rFonts w:ascii="Arial" w:hAnsi="Arial" w:cs="Arial"/>
          <w:b/>
          <w:bCs/>
          <w:color w:val="000000" w:themeColor="text1"/>
          <w:sz w:val="22"/>
          <w:szCs w:val="22"/>
          <w:u w:val="single"/>
        </w:rPr>
        <w:lastRenderedPageBreak/>
        <w:t>The Ohio State University Comprehensive Cancer Center – Arthur G. James Cancer Hospital and Richard J. Solove Research Institute (OSUCCC – James)</w:t>
      </w:r>
      <w:r w:rsidRPr="006346EC">
        <w:rPr>
          <w:rFonts w:ascii="Arial" w:hAnsi="Arial" w:cs="Arial"/>
          <w:snapToGrid w:val="0"/>
          <w:color w:val="000000" w:themeColor="text1"/>
          <w:sz w:val="22"/>
          <w:szCs w:val="22"/>
        </w:rPr>
        <w:t xml:space="preserve"> </w:t>
      </w:r>
    </w:p>
    <w:p w14:paraId="2C0EFBE8" w14:textId="77777777" w:rsidR="006346EC" w:rsidRPr="006346EC" w:rsidRDefault="000433E0" w:rsidP="006346EC">
      <w:pPr>
        <w:widowControl w:val="0"/>
        <w:rPr>
          <w:rFonts w:ascii="Arial" w:hAnsi="Arial" w:cs="Arial"/>
          <w:snapToGrid w:val="0"/>
          <w:color w:val="000000" w:themeColor="text1"/>
          <w:sz w:val="22"/>
          <w:szCs w:val="22"/>
        </w:rPr>
      </w:pPr>
      <w:r w:rsidRPr="006346EC">
        <w:rPr>
          <w:rFonts w:ascii="Arial" w:hAnsi="Arial" w:cs="Arial"/>
          <w:snapToGrid w:val="0"/>
          <w:color w:val="000000" w:themeColor="text1"/>
          <w:sz w:val="22"/>
          <w:szCs w:val="22"/>
        </w:rPr>
        <w:t xml:space="preserve">The OSUCCC is one of 57 NCI designated Comprehensive Cancer Centers in the U.S. First established in July 1973, it was designated “Comprehensive” in April 1976. The OSUCCC is one of the nation’s premier centers for the prevention, detection, and treatment of cancer. It is the only cancer program in the United States that features an NCI-designated comprehensive cancer center aligned with a nationally ranked academic medical center and a freestanding cancer hospital on the campus of one of the nation’s largest public universities. </w:t>
      </w:r>
    </w:p>
    <w:p w14:paraId="782BF835" w14:textId="77777777" w:rsidR="006346EC" w:rsidRPr="006346EC" w:rsidRDefault="006346EC" w:rsidP="006346EC">
      <w:pPr>
        <w:widowControl w:val="0"/>
        <w:rPr>
          <w:rFonts w:ascii="Arial" w:hAnsi="Arial" w:cs="Arial"/>
          <w:snapToGrid w:val="0"/>
          <w:color w:val="000000" w:themeColor="text1"/>
          <w:sz w:val="22"/>
          <w:szCs w:val="22"/>
        </w:rPr>
      </w:pPr>
    </w:p>
    <w:p w14:paraId="552CD237" w14:textId="6490C1EF" w:rsidR="000433E0" w:rsidRPr="006346EC" w:rsidRDefault="000433E0" w:rsidP="006346EC">
      <w:pPr>
        <w:widowControl w:val="0"/>
        <w:rPr>
          <w:rFonts w:ascii="Arial" w:hAnsi="Arial" w:cs="Arial"/>
          <w:color w:val="000000" w:themeColor="text1"/>
          <w:sz w:val="22"/>
          <w:szCs w:val="22"/>
        </w:rPr>
      </w:pPr>
      <w:r w:rsidRPr="006346EC">
        <w:rPr>
          <w:rFonts w:ascii="Arial" w:hAnsi="Arial" w:cs="Arial"/>
          <w:snapToGrid w:val="0"/>
          <w:color w:val="000000" w:themeColor="text1"/>
          <w:sz w:val="22"/>
          <w:szCs w:val="22"/>
        </w:rPr>
        <w:t xml:space="preserve">The Arthur G. James Cancer Hospital and Richard J. Solove Research Institute is the world’s most advanced cancer hospital and provides the patient care component of the OSUCCC (OSUCCC-James). The James incorporates patient care, teaching and research space on all floors. The hospital staff includes nationally and internationally known physicians, physician-researchers, nurses, and staff who provide compassionate, state-of-the-art care. </w:t>
      </w:r>
      <w:r w:rsidRPr="006346EC">
        <w:rPr>
          <w:rFonts w:ascii="Arial" w:hAnsi="Arial" w:cs="Arial"/>
          <w:bCs/>
          <w:snapToGrid w:val="0"/>
          <w:color w:val="000000" w:themeColor="text1"/>
          <w:sz w:val="22"/>
          <w:szCs w:val="22"/>
        </w:rPr>
        <w:t xml:space="preserve">Research, education, and patient care form the three-pronged mission of the OSUCCC-James. The OSUCCC tightly intertwines the three mission components to focus on one goal: Creating a Cancer-Free World. </w:t>
      </w:r>
      <w:r w:rsidR="00F140E2">
        <w:rPr>
          <w:rFonts w:ascii="Arial" w:hAnsi="Arial" w:cs="Arial"/>
          <w:bCs/>
          <w:snapToGrid w:val="0"/>
          <w:color w:val="000000" w:themeColor="text1"/>
          <w:sz w:val="22"/>
          <w:szCs w:val="22"/>
        </w:rPr>
        <w:t xml:space="preserve">W. </w:t>
      </w:r>
      <w:proofErr w:type="spellStart"/>
      <w:r w:rsidRPr="006346EC">
        <w:rPr>
          <w:rFonts w:ascii="Arial" w:hAnsi="Arial" w:cs="Arial"/>
          <w:bCs/>
          <w:snapToGrid w:val="0"/>
          <w:color w:val="000000" w:themeColor="text1"/>
          <w:sz w:val="22"/>
          <w:szCs w:val="22"/>
        </w:rPr>
        <w:t>Kimryn</w:t>
      </w:r>
      <w:proofErr w:type="spellEnd"/>
      <w:r w:rsidRPr="006346EC">
        <w:rPr>
          <w:rFonts w:ascii="Arial" w:hAnsi="Arial" w:cs="Arial"/>
          <w:bCs/>
          <w:snapToGrid w:val="0"/>
          <w:color w:val="000000" w:themeColor="text1"/>
          <w:sz w:val="22"/>
          <w:szCs w:val="22"/>
        </w:rPr>
        <w:t xml:space="preserve"> Rathmell, MD, PhD serves as </w:t>
      </w:r>
      <w:r w:rsidR="00F140E2">
        <w:rPr>
          <w:rFonts w:ascii="Arial" w:hAnsi="Arial" w:cs="Arial"/>
          <w:bCs/>
          <w:snapToGrid w:val="0"/>
          <w:color w:val="000000" w:themeColor="text1"/>
          <w:sz w:val="22"/>
          <w:szCs w:val="22"/>
        </w:rPr>
        <w:t>the d</w:t>
      </w:r>
      <w:r w:rsidRPr="006346EC">
        <w:rPr>
          <w:rFonts w:ascii="Arial" w:hAnsi="Arial" w:cs="Arial"/>
          <w:bCs/>
          <w:snapToGrid w:val="0"/>
          <w:color w:val="000000" w:themeColor="text1"/>
          <w:sz w:val="22"/>
          <w:szCs w:val="22"/>
        </w:rPr>
        <w:t xml:space="preserve">irector and </w:t>
      </w:r>
      <w:r w:rsidRPr="006346EC">
        <w:rPr>
          <w:rFonts w:ascii="Arial" w:hAnsi="Arial" w:cs="Arial"/>
          <w:bCs/>
          <w:color w:val="000000" w:themeColor="text1"/>
          <w:sz w:val="22"/>
          <w:szCs w:val="22"/>
        </w:rPr>
        <w:t xml:space="preserve">CEO </w:t>
      </w:r>
      <w:r w:rsidR="00F140E2">
        <w:rPr>
          <w:rFonts w:ascii="Arial" w:hAnsi="Arial" w:cs="Arial"/>
          <w:bCs/>
          <w:color w:val="000000" w:themeColor="text1"/>
          <w:sz w:val="22"/>
          <w:szCs w:val="22"/>
        </w:rPr>
        <w:t>OSUCCC-James</w:t>
      </w:r>
      <w:r w:rsidRPr="006346EC">
        <w:rPr>
          <w:rFonts w:ascii="Arial" w:hAnsi="Arial" w:cs="Arial"/>
          <w:bCs/>
          <w:color w:val="000000" w:themeColor="text1"/>
          <w:sz w:val="22"/>
          <w:szCs w:val="22"/>
        </w:rPr>
        <w:t xml:space="preserve">. </w:t>
      </w:r>
      <w:r w:rsidR="00470B76">
        <w:rPr>
          <w:rFonts w:ascii="Arial" w:hAnsi="Arial" w:cs="Arial"/>
          <w:bCs/>
          <w:color w:val="000000" w:themeColor="text1"/>
          <w:sz w:val="22"/>
          <w:szCs w:val="22"/>
        </w:rPr>
        <w:t>Ohio State</w:t>
      </w:r>
      <w:r w:rsidRPr="006346EC">
        <w:rPr>
          <w:rFonts w:ascii="Arial" w:hAnsi="Arial" w:cs="Arial"/>
          <w:bCs/>
          <w:color w:val="000000" w:themeColor="text1"/>
          <w:sz w:val="22"/>
          <w:szCs w:val="22"/>
        </w:rPr>
        <w:t xml:space="preserve"> has an NCI </w:t>
      </w:r>
      <w:r w:rsidRPr="006346EC">
        <w:rPr>
          <w:rFonts w:ascii="Arial" w:hAnsi="Arial" w:cs="Arial"/>
          <w:bCs/>
          <w:i/>
          <w:iCs/>
          <w:color w:val="000000" w:themeColor="text1"/>
          <w:sz w:val="22"/>
          <w:szCs w:val="22"/>
        </w:rPr>
        <w:t>Experimental Therapeutics Clinical Trials Network</w:t>
      </w:r>
      <w:r w:rsidRPr="006346EC">
        <w:rPr>
          <w:rFonts w:ascii="Arial" w:hAnsi="Arial" w:cs="Arial"/>
          <w:bCs/>
          <w:color w:val="000000" w:themeColor="text1"/>
          <w:sz w:val="22"/>
          <w:szCs w:val="22"/>
        </w:rPr>
        <w:t> (</w:t>
      </w:r>
      <w:r w:rsidRPr="006346EC">
        <w:rPr>
          <w:rFonts w:ascii="Arial" w:hAnsi="Arial" w:cs="Arial"/>
          <w:bCs/>
          <w:i/>
          <w:iCs/>
          <w:color w:val="000000" w:themeColor="text1"/>
          <w:sz w:val="22"/>
          <w:szCs w:val="22"/>
        </w:rPr>
        <w:t>ETCTN</w:t>
      </w:r>
      <w:r w:rsidRPr="006346EC">
        <w:rPr>
          <w:rFonts w:ascii="Arial" w:hAnsi="Arial" w:cs="Arial"/>
          <w:bCs/>
          <w:color w:val="000000" w:themeColor="text1"/>
          <w:sz w:val="22"/>
          <w:szCs w:val="22"/>
        </w:rPr>
        <w:t xml:space="preserve">) Phase I/II program (UM1 CA186712). Additionally, </w:t>
      </w:r>
      <w:r w:rsidR="00B12B0B" w:rsidRPr="00B12B0B">
        <w:rPr>
          <w:rFonts w:ascii="Arial" w:hAnsi="Arial" w:cs="Arial"/>
          <w:bCs/>
          <w:color w:val="000000" w:themeColor="text1"/>
          <w:sz w:val="22"/>
          <w:szCs w:val="22"/>
        </w:rPr>
        <w:t>Ohio State is a Leading Academic Participating Site (LAPS) and actively participates in ETCTN and NCTN clinical trials and correlative studies, including Alliance.</w:t>
      </w:r>
      <w:r w:rsidRPr="006346EC">
        <w:rPr>
          <w:rFonts w:ascii="Arial" w:hAnsi="Arial" w:cs="Arial"/>
          <w:bCs/>
          <w:color w:val="000000" w:themeColor="text1"/>
          <w:sz w:val="22"/>
          <w:szCs w:val="22"/>
        </w:rPr>
        <w:t xml:space="preserve"> The NCI Cancer Center Support Grant (CCSG, PI: W. </w:t>
      </w:r>
      <w:proofErr w:type="spellStart"/>
      <w:r w:rsidRPr="006346EC">
        <w:rPr>
          <w:rFonts w:ascii="Arial" w:hAnsi="Arial" w:cs="Arial"/>
          <w:bCs/>
          <w:color w:val="000000" w:themeColor="text1"/>
          <w:sz w:val="22"/>
          <w:szCs w:val="22"/>
        </w:rPr>
        <w:t>Kimryn</w:t>
      </w:r>
      <w:proofErr w:type="spellEnd"/>
      <w:r w:rsidRPr="006346EC">
        <w:rPr>
          <w:rFonts w:ascii="Arial" w:hAnsi="Arial" w:cs="Arial"/>
          <w:bCs/>
          <w:color w:val="000000" w:themeColor="text1"/>
          <w:sz w:val="22"/>
          <w:szCs w:val="22"/>
        </w:rPr>
        <w:t xml:space="preserve"> Rathmell) was peer-reviewed in 2025 and for the fourth consecutive review spanning the past fifteen years, the OSUCCC has been rated as an “exceptional” comprehensive cancer center. In addition, 9 Shared Resources were rated “exceptional” or “outstanding.”</w:t>
      </w:r>
    </w:p>
    <w:p w14:paraId="4A2D23CF" w14:textId="77777777" w:rsidR="006346EC" w:rsidRPr="006346EC" w:rsidRDefault="006346EC" w:rsidP="006346EC">
      <w:pPr>
        <w:widowControl w:val="0"/>
        <w:rPr>
          <w:rFonts w:ascii="Arial" w:hAnsi="Arial" w:cs="Arial"/>
          <w:color w:val="000000" w:themeColor="text1"/>
          <w:sz w:val="22"/>
          <w:szCs w:val="22"/>
        </w:rPr>
      </w:pPr>
    </w:p>
    <w:p w14:paraId="4B5251D9" w14:textId="7A38A194" w:rsidR="00C31BD7" w:rsidRDefault="00C31BD7" w:rsidP="006346EC">
      <w:pPr>
        <w:widowControl w:val="0"/>
        <w:snapToGrid w:val="0"/>
        <w:rPr>
          <w:rFonts w:ascii="Arial" w:hAnsi="Arial" w:cs="Arial"/>
          <w:color w:val="000000" w:themeColor="text1"/>
          <w:sz w:val="22"/>
          <w:szCs w:val="22"/>
        </w:rPr>
      </w:pPr>
      <w:bookmarkStart w:id="0" w:name="_Hlk175321536"/>
      <w:r w:rsidRPr="006346EC">
        <w:rPr>
          <w:rFonts w:ascii="Arial" w:hAnsi="Arial" w:cs="Arial"/>
          <w:color w:val="000000" w:themeColor="text1"/>
          <w:sz w:val="22"/>
          <w:szCs w:val="22"/>
        </w:rPr>
        <w:t xml:space="preserve">OSUCCC has continued to expand research space to support the ongoing recruitment of new recruits and growth of established investigators. In addition to the existing OSUCCC research space located within 12 </w:t>
      </w:r>
      <w:r w:rsidR="00470B76">
        <w:rPr>
          <w:rFonts w:ascii="Arial" w:hAnsi="Arial" w:cs="Arial"/>
          <w:color w:val="000000" w:themeColor="text1"/>
          <w:sz w:val="22"/>
          <w:szCs w:val="22"/>
        </w:rPr>
        <w:t xml:space="preserve">Ohio State </w:t>
      </w:r>
      <w:r w:rsidRPr="006346EC">
        <w:rPr>
          <w:rFonts w:ascii="Arial" w:hAnsi="Arial" w:cs="Arial"/>
          <w:color w:val="000000" w:themeColor="text1"/>
          <w:sz w:val="22"/>
          <w:szCs w:val="22"/>
        </w:rPr>
        <w:t xml:space="preserve">colleges, </w:t>
      </w:r>
      <w:r w:rsidRPr="006346EC">
        <w:rPr>
          <w:rFonts w:ascii="Arial" w:hAnsi="Arial" w:cs="Arial"/>
          <w:snapToGrid w:val="0"/>
          <w:color w:val="000000" w:themeColor="text1"/>
          <w:sz w:val="22"/>
          <w:szCs w:val="22"/>
        </w:rPr>
        <w:t xml:space="preserve">OSUCCC has dedicated research laboratories located primarily in </w:t>
      </w:r>
      <w:proofErr w:type="spellStart"/>
      <w:r w:rsidRPr="006346EC">
        <w:rPr>
          <w:rFonts w:ascii="Arial" w:hAnsi="Arial" w:cs="Arial"/>
          <w:snapToGrid w:val="0"/>
          <w:color w:val="000000" w:themeColor="text1"/>
          <w:sz w:val="22"/>
          <w:szCs w:val="22"/>
        </w:rPr>
        <w:t>Tzagournis</w:t>
      </w:r>
      <w:proofErr w:type="spellEnd"/>
      <w:r w:rsidRPr="006346EC">
        <w:rPr>
          <w:rFonts w:ascii="Arial" w:hAnsi="Arial" w:cs="Arial"/>
          <w:snapToGrid w:val="0"/>
          <w:color w:val="000000" w:themeColor="text1"/>
          <w:sz w:val="22"/>
          <w:szCs w:val="22"/>
        </w:rPr>
        <w:t xml:space="preserve"> Medical Research Facility, Wiseman Hall, and the Biomedical Research Tower (BRT). The current OSUCCC space, which houses clinical, research, and administrative activities is approximately 2,263,276 sq. ft. </w:t>
      </w:r>
      <w:r w:rsidR="006346EC">
        <w:rPr>
          <w:rFonts w:ascii="Arial" w:hAnsi="Arial" w:cs="Arial"/>
          <w:snapToGrid w:val="0"/>
          <w:color w:val="000000" w:themeColor="text1"/>
          <w:sz w:val="22"/>
          <w:szCs w:val="22"/>
        </w:rPr>
        <w:t>T</w:t>
      </w:r>
      <w:r w:rsidRPr="006346EC">
        <w:rPr>
          <w:rFonts w:ascii="Arial" w:hAnsi="Arial" w:cs="Arial"/>
          <w:color w:val="000000" w:themeColor="text1"/>
          <w:sz w:val="22"/>
          <w:szCs w:val="22"/>
        </w:rPr>
        <w:t>he BRT provides 96,000 sq. ft. (50%) of the 192,000 sq. ft. of total wet lab space to the OSUCCC members</w:t>
      </w:r>
      <w:r w:rsidRPr="006346EC">
        <w:rPr>
          <w:rFonts w:ascii="Arial" w:hAnsi="Arial" w:cs="Arial"/>
          <w:snapToGrid w:val="0"/>
          <w:color w:val="000000" w:themeColor="text1"/>
          <w:sz w:val="22"/>
          <w:szCs w:val="22"/>
        </w:rPr>
        <w:t xml:space="preserve">. An additional 24,000 sq. ft. is dedicated to the OSUCCC Shared Resources. </w:t>
      </w:r>
    </w:p>
    <w:p w14:paraId="610F9C6D" w14:textId="77777777" w:rsidR="006346EC" w:rsidRPr="006346EC" w:rsidRDefault="006346EC" w:rsidP="006346EC">
      <w:pPr>
        <w:widowControl w:val="0"/>
        <w:snapToGrid w:val="0"/>
        <w:rPr>
          <w:rFonts w:ascii="Arial" w:hAnsi="Arial" w:cs="Arial"/>
          <w:color w:val="000000" w:themeColor="text1"/>
          <w:sz w:val="22"/>
          <w:szCs w:val="22"/>
        </w:rPr>
      </w:pPr>
    </w:p>
    <w:bookmarkEnd w:id="0"/>
    <w:p w14:paraId="633F89CF" w14:textId="54EF6010" w:rsidR="00C31BD7" w:rsidRDefault="00C31BD7" w:rsidP="006346EC">
      <w:pPr>
        <w:widowControl w:val="0"/>
        <w:rPr>
          <w:rFonts w:ascii="Arial" w:hAnsi="Arial" w:cs="Arial"/>
          <w:noProof/>
          <w:color w:val="000000" w:themeColor="text1"/>
          <w:sz w:val="22"/>
          <w:szCs w:val="22"/>
        </w:rPr>
      </w:pPr>
      <w:r w:rsidRPr="006346EC">
        <w:rPr>
          <w:rFonts w:ascii="Arial" w:hAnsi="Arial" w:cs="Arial"/>
          <w:snapToGrid w:val="0"/>
          <w:color w:val="000000" w:themeColor="text1"/>
          <w:sz w:val="22"/>
          <w:szCs w:val="22"/>
        </w:rPr>
        <w:t xml:space="preserve">The focal point of the clinical activities of the OSUCCC is The James Cancer Hospital, </w:t>
      </w:r>
      <w:r w:rsidR="00B12B0B" w:rsidRPr="00B12B0B">
        <w:rPr>
          <w:rFonts w:ascii="Arial" w:hAnsi="Arial" w:cs="Arial"/>
          <w:snapToGrid w:val="0"/>
          <w:color w:val="000000" w:themeColor="text1"/>
          <w:sz w:val="22"/>
          <w:szCs w:val="22"/>
        </w:rPr>
        <w:t xml:space="preserve">a nationally recognized cancer hospital that continues to expand its inpatient and outpatient capacity to support growing clinical and research needs. </w:t>
      </w:r>
      <w:r w:rsidRPr="006346EC">
        <w:rPr>
          <w:rFonts w:ascii="Arial" w:hAnsi="Arial" w:cs="Arial"/>
          <w:snapToGrid w:val="0"/>
          <w:color w:val="000000" w:themeColor="text1"/>
          <w:sz w:val="22"/>
          <w:szCs w:val="22"/>
        </w:rPr>
        <w:t xml:space="preserve">The James opened in December 2014 and provides approximately 1,100,000 </w:t>
      </w:r>
      <w:bookmarkStart w:id="1" w:name="_Hlk149895546"/>
      <w:r w:rsidRPr="006346EC">
        <w:rPr>
          <w:rFonts w:ascii="Arial" w:hAnsi="Arial" w:cs="Arial"/>
          <w:snapToGrid w:val="0"/>
          <w:color w:val="000000" w:themeColor="text1"/>
          <w:sz w:val="22"/>
          <w:szCs w:val="22"/>
        </w:rPr>
        <w:t>sq. ft.</w:t>
      </w:r>
      <w:bookmarkEnd w:id="1"/>
      <w:r w:rsidRPr="006346EC">
        <w:rPr>
          <w:rFonts w:ascii="Arial" w:hAnsi="Arial" w:cs="Arial"/>
          <w:snapToGrid w:val="0"/>
          <w:color w:val="000000" w:themeColor="text1"/>
          <w:sz w:val="22"/>
          <w:szCs w:val="22"/>
        </w:rPr>
        <w:t xml:space="preserve"> of new space at a cost of approximately $1.1 billion for the cancer program. The OSUCCC-James is one of only 11 DRG- or PPS-exempt institutions in the United States. Since its opening, the James’ clinical facilities have continued to expand. Recent updates include: 1) a 1,700 sq. ft., 9 bed Clinical Treatment Unit for early phase investigational drug delivery; 2) a 72-inpatient bed addition within the adjacent University Hospital (contiguous with The James) to relieve the ~100% occupancy rate of this past year (with 36 beds dedicated to cancer patients); and 3) a 72,000 sq. ft. expansion at the nearby Martha Morehouse Outpatient Care site for multimodality clinics in GI, GU, thoracic and thyroid/neuroendocrine </w:t>
      </w:r>
      <w:proofErr w:type="spellStart"/>
      <w:r w:rsidRPr="006346EC">
        <w:rPr>
          <w:rFonts w:ascii="Arial" w:hAnsi="Arial" w:cs="Arial"/>
          <w:snapToGrid w:val="0"/>
          <w:color w:val="000000" w:themeColor="text1"/>
          <w:sz w:val="22"/>
          <w:szCs w:val="22"/>
        </w:rPr>
        <w:t>neoplasias</w:t>
      </w:r>
      <w:proofErr w:type="spellEnd"/>
      <w:r w:rsidRPr="006346EC">
        <w:rPr>
          <w:rFonts w:ascii="Arial" w:hAnsi="Arial" w:cs="Arial"/>
          <w:snapToGrid w:val="0"/>
          <w:color w:val="000000" w:themeColor="text1"/>
          <w:sz w:val="22"/>
          <w:szCs w:val="22"/>
        </w:rPr>
        <w:t>.</w:t>
      </w:r>
      <w:r w:rsidRPr="006346EC">
        <w:rPr>
          <w:rFonts w:ascii="Arial" w:hAnsi="Arial" w:cs="Arial"/>
          <w:noProof/>
          <w:color w:val="000000" w:themeColor="text1"/>
          <w:sz w:val="22"/>
          <w:szCs w:val="22"/>
        </w:rPr>
        <w:t xml:space="preserve"> </w:t>
      </w:r>
    </w:p>
    <w:p w14:paraId="29A95460" w14:textId="77777777" w:rsidR="006346EC" w:rsidRPr="006346EC" w:rsidRDefault="006346EC" w:rsidP="006346EC">
      <w:pPr>
        <w:widowControl w:val="0"/>
        <w:rPr>
          <w:rFonts w:ascii="Arial" w:hAnsi="Arial" w:cs="Arial"/>
          <w:b/>
          <w:snapToGrid w:val="0"/>
          <w:color w:val="000000" w:themeColor="text1"/>
          <w:sz w:val="22"/>
          <w:szCs w:val="22"/>
        </w:rPr>
      </w:pPr>
    </w:p>
    <w:p w14:paraId="1796C622" w14:textId="3D4D6474" w:rsidR="00C31BD7" w:rsidRDefault="00C31BD7" w:rsidP="006346EC">
      <w:pPr>
        <w:widowControl w:val="0"/>
        <w:rPr>
          <w:rFonts w:ascii="Arial" w:hAnsi="Arial" w:cs="Arial"/>
          <w:snapToGrid w:val="0"/>
          <w:color w:val="000000" w:themeColor="text1"/>
          <w:sz w:val="22"/>
          <w:szCs w:val="22"/>
        </w:rPr>
      </w:pPr>
      <w:r w:rsidRPr="006346EC">
        <w:rPr>
          <w:rFonts w:ascii="Arial" w:hAnsi="Arial" w:cs="Arial"/>
          <w:snapToGrid w:val="0"/>
          <w:color w:val="000000" w:themeColor="text1"/>
          <w:sz w:val="22"/>
          <w:szCs w:val="22"/>
        </w:rPr>
        <w:t>In addition to The James Cancer Hospital sites on the main medical center campus, there are several important off-campus clinical facilities associated with the OSUCCC-James. The 38,000 sq. ft. Stephanie Spielman Comprehensive Breast Center provides the full range of screening, diagnostic, treatment, quality-of-life and rehabilitation needs for ambulatory breast cancer patients. This facility has greatly enhanced institutional participation in multidisciplinary clinical trials, with accruals to breast cancer trials increased by 169%. Furthermore, OSUCCC-James manages oncologic care at the University Hospital East facilit</w:t>
      </w:r>
      <w:r w:rsidR="00470B76">
        <w:rPr>
          <w:rFonts w:ascii="Arial" w:hAnsi="Arial" w:cs="Arial"/>
          <w:snapToGrid w:val="0"/>
          <w:color w:val="000000" w:themeColor="text1"/>
          <w:sz w:val="22"/>
          <w:szCs w:val="22"/>
        </w:rPr>
        <w:t>y</w:t>
      </w:r>
      <w:r w:rsidRPr="006346EC">
        <w:rPr>
          <w:rFonts w:ascii="Arial" w:hAnsi="Arial" w:cs="Arial"/>
          <w:snapToGrid w:val="0"/>
          <w:color w:val="000000" w:themeColor="text1"/>
          <w:sz w:val="22"/>
          <w:szCs w:val="22"/>
        </w:rPr>
        <w:t xml:space="preserve">, located less than 5 miles from The James Cancer Hospital, is a full-service community hospital that predominately serves the minority population of Columbus and Franklin County. Finally, The James at Martha Morehouse Outpatient Care is an outpatient clinic and infusion facility for OSUCCC-James cancer patients. This facility has over 70,000 sq. ft. devoted to solid tumor oncology, including chemotherapy suites, and four multimodality clinics: gastrointestinal, genitourinary, thoracic, and thyroid/neuroendocrine neoplasia. </w:t>
      </w:r>
      <w:r w:rsidR="006346EC">
        <w:rPr>
          <w:rFonts w:ascii="Arial" w:hAnsi="Arial" w:cs="Arial"/>
          <w:snapToGrid w:val="0"/>
          <w:color w:val="000000" w:themeColor="text1"/>
          <w:sz w:val="22"/>
          <w:szCs w:val="22"/>
        </w:rPr>
        <w:t>The</w:t>
      </w:r>
      <w:r w:rsidRPr="006346EC">
        <w:rPr>
          <w:rFonts w:ascii="Arial" w:hAnsi="Arial" w:cs="Arial"/>
          <w:snapToGrid w:val="0"/>
          <w:color w:val="000000" w:themeColor="text1"/>
          <w:sz w:val="22"/>
          <w:szCs w:val="22"/>
        </w:rPr>
        <w:t xml:space="preserve"> multimodality Clinical Cancer Genetics Program (with 2 dedicated physicians and 7 genetic counselors) expanded and relocated following a $600,000 investment to complete construction on 4,600 sq. ft. at the OSUCCC Polaris Innovation Centre, located on the north side of Columbus.</w:t>
      </w:r>
    </w:p>
    <w:p w14:paraId="3EFAF9F0" w14:textId="77777777" w:rsidR="006346EC" w:rsidRPr="006346EC" w:rsidRDefault="006346EC" w:rsidP="006346EC">
      <w:pPr>
        <w:widowControl w:val="0"/>
        <w:rPr>
          <w:rFonts w:ascii="Arial" w:hAnsi="Arial" w:cs="Arial"/>
          <w:snapToGrid w:val="0"/>
          <w:color w:val="000000" w:themeColor="text1"/>
          <w:sz w:val="22"/>
          <w:szCs w:val="22"/>
        </w:rPr>
      </w:pPr>
    </w:p>
    <w:p w14:paraId="0E3BCA77" w14:textId="63C95902" w:rsidR="00C31BD7" w:rsidRPr="006346EC" w:rsidRDefault="00C31BD7" w:rsidP="006346EC">
      <w:pPr>
        <w:pStyle w:val="Heading2"/>
        <w:widowControl w:val="0"/>
        <w:spacing w:before="0" w:after="0"/>
        <w:rPr>
          <w:rFonts w:ascii="Arial" w:hAnsi="Arial" w:cs="Arial"/>
          <w:b/>
          <w:bCs/>
          <w:snapToGrid w:val="0"/>
          <w:color w:val="000000" w:themeColor="text1"/>
          <w:sz w:val="22"/>
          <w:szCs w:val="22"/>
          <w:u w:val="single"/>
        </w:rPr>
      </w:pPr>
      <w:bookmarkStart w:id="2" w:name="_Hlk175321617"/>
      <w:r w:rsidRPr="006346EC">
        <w:rPr>
          <w:rFonts w:ascii="Arial" w:hAnsi="Arial" w:cs="Arial"/>
          <w:b/>
          <w:bCs/>
          <w:snapToGrid w:val="0"/>
          <w:color w:val="000000" w:themeColor="text1"/>
          <w:sz w:val="22"/>
          <w:szCs w:val="22"/>
          <w:u w:val="single"/>
        </w:rPr>
        <w:t xml:space="preserve">The </w:t>
      </w:r>
      <w:proofErr w:type="spellStart"/>
      <w:r w:rsidRPr="006346EC">
        <w:rPr>
          <w:rFonts w:ascii="Arial" w:hAnsi="Arial" w:cs="Arial"/>
          <w:b/>
          <w:bCs/>
          <w:snapToGrid w:val="0"/>
          <w:color w:val="000000" w:themeColor="text1"/>
          <w:sz w:val="22"/>
          <w:szCs w:val="22"/>
          <w:u w:val="single"/>
        </w:rPr>
        <w:t>Pelotonia</w:t>
      </w:r>
      <w:proofErr w:type="spellEnd"/>
      <w:r w:rsidRPr="006346EC">
        <w:rPr>
          <w:rFonts w:ascii="Arial" w:hAnsi="Arial" w:cs="Arial"/>
          <w:b/>
          <w:bCs/>
          <w:snapToGrid w:val="0"/>
          <w:color w:val="000000" w:themeColor="text1"/>
          <w:sz w:val="22"/>
          <w:szCs w:val="22"/>
          <w:u w:val="single"/>
        </w:rPr>
        <w:t xml:space="preserve"> Research Center </w:t>
      </w:r>
    </w:p>
    <w:p w14:paraId="26D2EEFB" w14:textId="58E88F40" w:rsidR="00C31BD7" w:rsidRDefault="00C31BD7" w:rsidP="006346EC">
      <w:pPr>
        <w:widowControl w:val="0"/>
        <w:outlineLvl w:val="1"/>
        <w:rPr>
          <w:rFonts w:ascii="Arial" w:hAnsi="Arial" w:cs="Arial"/>
          <w:iCs/>
          <w:snapToGrid w:val="0"/>
          <w:color w:val="000000" w:themeColor="text1"/>
          <w:sz w:val="22"/>
          <w:szCs w:val="22"/>
        </w:rPr>
      </w:pPr>
      <w:r w:rsidRPr="006346EC">
        <w:rPr>
          <w:rFonts w:ascii="Arial" w:hAnsi="Arial" w:cs="Arial"/>
          <w:iCs/>
          <w:snapToGrid w:val="0"/>
          <w:color w:val="000000" w:themeColor="text1"/>
          <w:sz w:val="22"/>
          <w:szCs w:val="22"/>
        </w:rPr>
        <w:t xml:space="preserve">The </w:t>
      </w:r>
      <w:bookmarkStart w:id="3" w:name="_Hlk134612726"/>
      <w:proofErr w:type="spellStart"/>
      <w:r w:rsidRPr="006346EC">
        <w:rPr>
          <w:rFonts w:ascii="Arial" w:hAnsi="Arial" w:cs="Arial"/>
          <w:iCs/>
          <w:snapToGrid w:val="0"/>
          <w:color w:val="000000" w:themeColor="text1"/>
          <w:sz w:val="22"/>
          <w:szCs w:val="22"/>
        </w:rPr>
        <w:t>Pelotonia</w:t>
      </w:r>
      <w:proofErr w:type="spellEnd"/>
      <w:r w:rsidRPr="006346EC">
        <w:rPr>
          <w:rFonts w:ascii="Arial" w:hAnsi="Arial" w:cs="Arial"/>
          <w:iCs/>
          <w:snapToGrid w:val="0"/>
          <w:color w:val="000000" w:themeColor="text1"/>
          <w:sz w:val="22"/>
          <w:szCs w:val="22"/>
        </w:rPr>
        <w:t xml:space="preserve"> Research Center (</w:t>
      </w:r>
      <w:proofErr w:type="spellStart"/>
      <w:r w:rsidRPr="006346EC">
        <w:rPr>
          <w:rFonts w:ascii="Arial" w:hAnsi="Arial" w:cs="Arial"/>
          <w:iCs/>
          <w:snapToGrid w:val="0"/>
          <w:color w:val="000000" w:themeColor="text1"/>
          <w:sz w:val="22"/>
          <w:szCs w:val="22"/>
        </w:rPr>
        <w:t>PaRC</w:t>
      </w:r>
      <w:proofErr w:type="spellEnd"/>
      <w:r w:rsidRPr="006346EC">
        <w:rPr>
          <w:rFonts w:ascii="Arial" w:hAnsi="Arial" w:cs="Arial"/>
          <w:iCs/>
          <w:snapToGrid w:val="0"/>
          <w:color w:val="000000" w:themeColor="text1"/>
          <w:sz w:val="22"/>
          <w:szCs w:val="22"/>
        </w:rPr>
        <w:t>), opened in June 2023</w:t>
      </w:r>
      <w:bookmarkEnd w:id="3"/>
      <w:r w:rsidRPr="006346EC">
        <w:rPr>
          <w:rFonts w:ascii="Arial" w:hAnsi="Arial" w:cs="Arial"/>
          <w:iCs/>
          <w:snapToGrid w:val="0"/>
          <w:color w:val="000000" w:themeColor="text1"/>
          <w:sz w:val="22"/>
          <w:szCs w:val="22"/>
        </w:rPr>
        <w:t xml:space="preserve">, is part of the </w:t>
      </w:r>
      <w:r w:rsidR="006346EC">
        <w:rPr>
          <w:rFonts w:ascii="Arial" w:hAnsi="Arial" w:cs="Arial"/>
          <w:iCs/>
          <w:snapToGrid w:val="0"/>
          <w:color w:val="000000" w:themeColor="text1"/>
          <w:sz w:val="22"/>
          <w:szCs w:val="22"/>
        </w:rPr>
        <w:t>u</w:t>
      </w:r>
      <w:r w:rsidRPr="006346EC">
        <w:rPr>
          <w:rFonts w:ascii="Arial" w:hAnsi="Arial" w:cs="Arial"/>
          <w:iCs/>
          <w:snapToGrid w:val="0"/>
          <w:color w:val="000000" w:themeColor="text1"/>
          <w:sz w:val="22"/>
          <w:szCs w:val="22"/>
        </w:rPr>
        <w:t xml:space="preserve">niversity-wide research expansion on west campus. The </w:t>
      </w:r>
      <w:proofErr w:type="spellStart"/>
      <w:r w:rsidRPr="006346EC">
        <w:rPr>
          <w:rFonts w:ascii="Arial" w:hAnsi="Arial" w:cs="Arial"/>
          <w:iCs/>
          <w:snapToGrid w:val="0"/>
          <w:color w:val="000000" w:themeColor="text1"/>
          <w:sz w:val="22"/>
          <w:szCs w:val="22"/>
        </w:rPr>
        <w:t>PaRC</w:t>
      </w:r>
      <w:proofErr w:type="spellEnd"/>
      <w:r w:rsidRPr="006346EC">
        <w:rPr>
          <w:rFonts w:ascii="Arial" w:hAnsi="Arial" w:cs="Arial"/>
          <w:iCs/>
          <w:snapToGrid w:val="0"/>
          <w:color w:val="000000" w:themeColor="text1"/>
          <w:sz w:val="22"/>
          <w:szCs w:val="22"/>
        </w:rPr>
        <w:t xml:space="preserve"> is a 311,000 sq. ft. building housing wet, computational and core labs, as well as a vivarium and shared resources. The OSUCCC occupies two full floors of </w:t>
      </w:r>
      <w:proofErr w:type="spellStart"/>
      <w:r w:rsidRPr="006346EC">
        <w:rPr>
          <w:rFonts w:ascii="Arial" w:hAnsi="Arial" w:cs="Arial"/>
          <w:iCs/>
          <w:snapToGrid w:val="0"/>
          <w:color w:val="000000" w:themeColor="text1"/>
          <w:sz w:val="22"/>
          <w:szCs w:val="22"/>
        </w:rPr>
        <w:t>PaRC</w:t>
      </w:r>
      <w:proofErr w:type="spellEnd"/>
      <w:r w:rsidRPr="006346EC">
        <w:rPr>
          <w:rFonts w:ascii="Arial" w:hAnsi="Arial" w:cs="Arial"/>
          <w:iCs/>
          <w:snapToGrid w:val="0"/>
          <w:color w:val="000000" w:themeColor="text1"/>
          <w:sz w:val="22"/>
          <w:szCs w:val="22"/>
        </w:rPr>
        <w:t xml:space="preserve"> including approximately 70,000 sq. ft. of assignable wet labs, computational labs, and office space</w:t>
      </w:r>
      <w:r w:rsidR="00242AB1">
        <w:rPr>
          <w:rFonts w:ascii="Arial" w:hAnsi="Arial" w:cs="Arial"/>
          <w:iCs/>
          <w:snapToGrid w:val="0"/>
          <w:color w:val="000000" w:themeColor="text1"/>
          <w:sz w:val="22"/>
          <w:szCs w:val="22"/>
        </w:rPr>
        <w:t>.</w:t>
      </w:r>
    </w:p>
    <w:p w14:paraId="3CDA0FF1" w14:textId="77777777" w:rsidR="006346EC" w:rsidRPr="006346EC" w:rsidRDefault="006346EC" w:rsidP="006346EC">
      <w:pPr>
        <w:widowControl w:val="0"/>
        <w:outlineLvl w:val="1"/>
        <w:rPr>
          <w:rFonts w:ascii="Arial" w:hAnsi="Arial" w:cs="Arial"/>
          <w:iCs/>
          <w:snapToGrid w:val="0"/>
          <w:color w:val="000000" w:themeColor="text1"/>
          <w:sz w:val="22"/>
          <w:szCs w:val="22"/>
        </w:rPr>
      </w:pPr>
    </w:p>
    <w:p w14:paraId="0526CC0F" w14:textId="6CCC704D" w:rsidR="00C31BD7" w:rsidRDefault="00C31BD7" w:rsidP="006346EC">
      <w:pPr>
        <w:widowControl w:val="0"/>
        <w:rPr>
          <w:rFonts w:ascii="Arial" w:hAnsi="Arial" w:cs="Arial"/>
          <w:snapToGrid w:val="0"/>
          <w:color w:val="000000" w:themeColor="text1"/>
          <w:sz w:val="22"/>
          <w:szCs w:val="22"/>
        </w:rPr>
      </w:pPr>
      <w:r w:rsidRPr="006346EC">
        <w:rPr>
          <w:rFonts w:ascii="Arial" w:hAnsi="Arial" w:cs="Arial"/>
          <w:snapToGrid w:val="0"/>
          <w:color w:val="000000" w:themeColor="text1"/>
          <w:sz w:val="22"/>
          <w:szCs w:val="22"/>
        </w:rPr>
        <w:t>The Center for Cancer Engineering (CCE) occupies two thirds of the 2</w:t>
      </w:r>
      <w:r w:rsidRPr="006346EC">
        <w:rPr>
          <w:rFonts w:ascii="Arial" w:hAnsi="Arial" w:cs="Arial"/>
          <w:snapToGrid w:val="0"/>
          <w:color w:val="000000" w:themeColor="text1"/>
          <w:sz w:val="22"/>
          <w:szCs w:val="22"/>
          <w:vertAlign w:val="superscript"/>
        </w:rPr>
        <w:t>nd</w:t>
      </w:r>
      <w:r w:rsidRPr="006346EC">
        <w:rPr>
          <w:rFonts w:ascii="Arial" w:hAnsi="Arial" w:cs="Arial"/>
          <w:snapToGrid w:val="0"/>
          <w:color w:val="000000" w:themeColor="text1"/>
          <w:sz w:val="22"/>
          <w:szCs w:val="22"/>
        </w:rPr>
        <w:t xml:space="preserve"> floor (nearly 23,000 sq. ft.) of the </w:t>
      </w:r>
      <w:proofErr w:type="spellStart"/>
      <w:r w:rsidRPr="006346EC">
        <w:rPr>
          <w:rFonts w:ascii="Arial" w:hAnsi="Arial" w:cs="Arial"/>
          <w:snapToGrid w:val="0"/>
          <w:color w:val="000000" w:themeColor="text1"/>
          <w:sz w:val="22"/>
          <w:szCs w:val="22"/>
        </w:rPr>
        <w:t>PaRC</w:t>
      </w:r>
      <w:proofErr w:type="spellEnd"/>
      <w:r w:rsidRPr="006346EC">
        <w:rPr>
          <w:rFonts w:ascii="Arial" w:hAnsi="Arial" w:cs="Arial"/>
          <w:snapToGrid w:val="0"/>
          <w:color w:val="000000" w:themeColor="text1"/>
          <w:sz w:val="22"/>
          <w:szCs w:val="22"/>
        </w:rPr>
        <w:t xml:space="preserve">, and this includes approximately 13,000 sq. ft. of wet lab space (36 bays and 26 lab support/procedural rooms), nearly 1,800 sq. ft. of computational lab space, and 8,500 </w:t>
      </w:r>
      <w:bookmarkStart w:id="4" w:name="_Hlk149894817"/>
      <w:r w:rsidRPr="006346EC">
        <w:rPr>
          <w:rFonts w:ascii="Arial" w:hAnsi="Arial" w:cs="Arial"/>
          <w:snapToGrid w:val="0"/>
          <w:color w:val="000000" w:themeColor="text1"/>
          <w:sz w:val="22"/>
          <w:szCs w:val="22"/>
        </w:rPr>
        <w:t xml:space="preserve">sq. ft. </w:t>
      </w:r>
      <w:bookmarkEnd w:id="4"/>
      <w:r w:rsidRPr="006346EC">
        <w:rPr>
          <w:rFonts w:ascii="Arial" w:hAnsi="Arial" w:cs="Arial"/>
          <w:snapToGrid w:val="0"/>
          <w:color w:val="000000" w:themeColor="text1"/>
          <w:sz w:val="22"/>
          <w:szCs w:val="22"/>
        </w:rPr>
        <w:t xml:space="preserve">of office space (21 faculty offices and many staff desks and collaborative areas). </w:t>
      </w:r>
    </w:p>
    <w:p w14:paraId="7F328A2F" w14:textId="77777777" w:rsidR="00242AB1" w:rsidRPr="006346EC" w:rsidRDefault="00242AB1" w:rsidP="006346EC">
      <w:pPr>
        <w:widowControl w:val="0"/>
        <w:rPr>
          <w:rFonts w:ascii="Arial" w:hAnsi="Arial" w:cs="Arial"/>
          <w:color w:val="000000" w:themeColor="text1"/>
          <w:sz w:val="22"/>
          <w:szCs w:val="22"/>
        </w:rPr>
      </w:pPr>
    </w:p>
    <w:p w14:paraId="3C6F09C1" w14:textId="50EC190C" w:rsidR="00C31BD7" w:rsidRDefault="00C31BD7" w:rsidP="006346EC">
      <w:pPr>
        <w:widowControl w:val="0"/>
        <w:rPr>
          <w:rFonts w:ascii="Arial" w:hAnsi="Arial" w:cs="Arial"/>
          <w:snapToGrid w:val="0"/>
          <w:color w:val="000000" w:themeColor="text1"/>
          <w:sz w:val="22"/>
          <w:szCs w:val="22"/>
        </w:rPr>
      </w:pPr>
      <w:r w:rsidRPr="006346EC">
        <w:rPr>
          <w:rFonts w:ascii="Arial" w:hAnsi="Arial" w:cs="Arial"/>
          <w:snapToGrid w:val="0"/>
          <w:color w:val="000000" w:themeColor="text1"/>
          <w:sz w:val="22"/>
          <w:szCs w:val="22"/>
        </w:rPr>
        <w:t xml:space="preserve">The </w:t>
      </w:r>
      <w:proofErr w:type="spellStart"/>
      <w:r w:rsidRPr="006346EC">
        <w:rPr>
          <w:rFonts w:ascii="Arial" w:hAnsi="Arial" w:cs="Arial"/>
          <w:snapToGrid w:val="0"/>
          <w:color w:val="000000" w:themeColor="text1"/>
          <w:sz w:val="22"/>
          <w:szCs w:val="22"/>
        </w:rPr>
        <w:t>Pelotonia</w:t>
      </w:r>
      <w:proofErr w:type="spellEnd"/>
      <w:r w:rsidRPr="006346EC">
        <w:rPr>
          <w:rFonts w:ascii="Arial" w:hAnsi="Arial" w:cs="Arial"/>
          <w:snapToGrid w:val="0"/>
          <w:color w:val="000000" w:themeColor="text1"/>
          <w:sz w:val="22"/>
          <w:szCs w:val="22"/>
        </w:rPr>
        <w:t xml:space="preserve"> Institute of Immuno-Oncology (PIIO) occupies the 3</w:t>
      </w:r>
      <w:r w:rsidRPr="006346EC">
        <w:rPr>
          <w:rFonts w:ascii="Arial" w:hAnsi="Arial" w:cs="Arial"/>
          <w:snapToGrid w:val="0"/>
          <w:color w:val="000000" w:themeColor="text1"/>
          <w:sz w:val="22"/>
          <w:szCs w:val="22"/>
          <w:vertAlign w:val="superscript"/>
        </w:rPr>
        <w:t>rd</w:t>
      </w:r>
      <w:r w:rsidRPr="006346EC">
        <w:rPr>
          <w:rFonts w:ascii="Arial" w:hAnsi="Arial" w:cs="Arial"/>
          <w:snapToGrid w:val="0"/>
          <w:color w:val="000000" w:themeColor="text1"/>
          <w:sz w:val="22"/>
          <w:szCs w:val="22"/>
        </w:rPr>
        <w:t xml:space="preserve"> floor of the </w:t>
      </w:r>
      <w:proofErr w:type="spellStart"/>
      <w:r w:rsidRPr="006346EC">
        <w:rPr>
          <w:rFonts w:ascii="Arial" w:hAnsi="Arial" w:cs="Arial"/>
          <w:snapToGrid w:val="0"/>
          <w:color w:val="000000" w:themeColor="text1"/>
          <w:sz w:val="22"/>
          <w:szCs w:val="22"/>
        </w:rPr>
        <w:t>PaRC</w:t>
      </w:r>
      <w:proofErr w:type="spellEnd"/>
      <w:r w:rsidRPr="006346EC">
        <w:rPr>
          <w:rFonts w:ascii="Arial" w:hAnsi="Arial" w:cs="Arial"/>
          <w:snapToGrid w:val="0"/>
          <w:color w:val="000000" w:themeColor="text1"/>
          <w:sz w:val="22"/>
          <w:szCs w:val="22"/>
        </w:rPr>
        <w:t xml:space="preserve"> (34,000 </w:t>
      </w:r>
      <w:bookmarkStart w:id="5" w:name="_Hlk133311189"/>
      <w:r w:rsidRPr="006346EC">
        <w:rPr>
          <w:rFonts w:ascii="Arial" w:hAnsi="Arial" w:cs="Arial"/>
          <w:snapToGrid w:val="0"/>
          <w:color w:val="000000" w:themeColor="text1"/>
          <w:sz w:val="22"/>
          <w:szCs w:val="22"/>
        </w:rPr>
        <w:t>sq. ft</w:t>
      </w:r>
      <w:bookmarkEnd w:id="5"/>
      <w:r w:rsidRPr="006346EC">
        <w:rPr>
          <w:rFonts w:ascii="Arial" w:hAnsi="Arial" w:cs="Arial"/>
          <w:snapToGrid w:val="0"/>
          <w:color w:val="000000" w:themeColor="text1"/>
          <w:sz w:val="22"/>
          <w:szCs w:val="22"/>
        </w:rPr>
        <w:t xml:space="preserve">.), and this includes approximately 20,000 </w:t>
      </w:r>
      <w:bookmarkStart w:id="6" w:name="_Hlk138666425"/>
      <w:r w:rsidRPr="006346EC">
        <w:rPr>
          <w:rFonts w:ascii="Arial" w:hAnsi="Arial" w:cs="Arial"/>
          <w:snapToGrid w:val="0"/>
          <w:color w:val="000000" w:themeColor="text1"/>
          <w:sz w:val="22"/>
          <w:szCs w:val="22"/>
        </w:rPr>
        <w:t>sq. ft.</w:t>
      </w:r>
      <w:bookmarkEnd w:id="6"/>
      <w:r w:rsidRPr="006346EC">
        <w:rPr>
          <w:rFonts w:ascii="Arial" w:hAnsi="Arial" w:cs="Arial"/>
          <w:snapToGrid w:val="0"/>
          <w:color w:val="000000" w:themeColor="text1"/>
          <w:sz w:val="22"/>
          <w:szCs w:val="22"/>
        </w:rPr>
        <w:t xml:space="preserve"> of wet lab space (54 bays and 40 lab support/procedural rooms), nearly 1,800 sq. ft of computational lab space, and 12,500 sq. ft of office space (32 faculty offices and many staff desks and collaborative areas). </w:t>
      </w:r>
    </w:p>
    <w:p w14:paraId="4943979C" w14:textId="77777777" w:rsidR="005952B1" w:rsidRDefault="005952B1" w:rsidP="006346EC">
      <w:pPr>
        <w:widowControl w:val="0"/>
        <w:rPr>
          <w:rFonts w:ascii="Arial" w:hAnsi="Arial" w:cs="Arial"/>
          <w:snapToGrid w:val="0"/>
          <w:color w:val="000000" w:themeColor="text1"/>
          <w:sz w:val="22"/>
          <w:szCs w:val="22"/>
        </w:rPr>
      </w:pPr>
    </w:p>
    <w:p w14:paraId="53E8D9D0" w14:textId="77777777" w:rsidR="005952B1" w:rsidRPr="006346EC" w:rsidRDefault="005952B1" w:rsidP="005952B1">
      <w:pPr>
        <w:rPr>
          <w:rFonts w:ascii="Arial" w:hAnsi="Arial" w:cs="Arial"/>
          <w:b/>
          <w:bCs/>
          <w:color w:val="000000" w:themeColor="text1"/>
          <w:sz w:val="22"/>
          <w:szCs w:val="22"/>
          <w:u w:val="single"/>
        </w:rPr>
      </w:pPr>
      <w:r w:rsidRPr="006346EC">
        <w:rPr>
          <w:rFonts w:ascii="Arial" w:hAnsi="Arial" w:cs="Arial"/>
          <w:b/>
          <w:bCs/>
          <w:color w:val="000000" w:themeColor="text1"/>
          <w:sz w:val="22"/>
          <w:szCs w:val="22"/>
          <w:u w:val="single"/>
        </w:rPr>
        <w:t>Ohio State Enterprise for Research, Innovation and Knowledge (ERIK)</w:t>
      </w:r>
    </w:p>
    <w:p w14:paraId="26F8E1AC" w14:textId="77777777" w:rsidR="005952B1" w:rsidRPr="006346EC" w:rsidRDefault="005952B1" w:rsidP="005952B1">
      <w:pPr>
        <w:rPr>
          <w:rFonts w:ascii="Arial" w:hAnsi="Arial" w:cs="Arial"/>
          <w:color w:val="000000" w:themeColor="text1"/>
          <w:sz w:val="22"/>
          <w:szCs w:val="22"/>
        </w:rPr>
      </w:pPr>
      <w:r w:rsidRPr="006346EC">
        <w:rPr>
          <w:rFonts w:ascii="Arial" w:hAnsi="Arial" w:cs="Arial"/>
          <w:color w:val="000000" w:themeColor="text1"/>
          <w:sz w:val="22"/>
          <w:szCs w:val="22"/>
        </w:rPr>
        <w:t>The Ohio State Enterprise for Research, Innovation and Knowledge (ERIK) positions the university to expand curiosity-driven research and creative expression activities. It further develops the research community to be leaders both today and, in the future, and grows the innovation ecosystem to address societal challenges. ERIK is comprised of four pillars – Knowledge Development and Discovery; Innovation and Partnership; Research and ERIK Operations; and Educate and Safeguard Research and Innovation. It houses numerous interdisciplinary research centers and institutes that transcend college boundaries and disciplines as well as multiple university cores. ERIK strengthens team science efforts including support for federal strategic grant submissions. ERIK team members are responsible for review boards for human subjects, animal research and biohazard research along with other regulatory components for the university. ERIK supports innovation and commercialization efforts and manages corporate partner and economic development opportunities. The Center for Software Innovation and the Keenan Center for Entrepreneurship report to ERIK. ERIK is also responsible for the strategic direction of the innovation district as it relates to accelerating research and innovation opportunities. Dr. Peter Mohler is the executive vice president of ERIK.</w:t>
      </w:r>
    </w:p>
    <w:p w14:paraId="34F6468C" w14:textId="77777777" w:rsidR="005952B1" w:rsidRPr="006346EC" w:rsidRDefault="005952B1" w:rsidP="005952B1">
      <w:pPr>
        <w:pStyle w:val="ListParagraph"/>
        <w:numPr>
          <w:ilvl w:val="0"/>
          <w:numId w:val="34"/>
        </w:numPr>
        <w:rPr>
          <w:rFonts w:ascii="Arial" w:hAnsi="Arial" w:cs="Arial"/>
          <w:color w:val="000000" w:themeColor="text1"/>
          <w:sz w:val="22"/>
          <w:szCs w:val="22"/>
        </w:rPr>
      </w:pPr>
      <w:r w:rsidRPr="006346EC">
        <w:rPr>
          <w:rFonts w:ascii="Arial" w:hAnsi="Arial" w:cs="Arial"/>
          <w:color w:val="000000" w:themeColor="text1"/>
          <w:sz w:val="22"/>
          <w:szCs w:val="22"/>
          <w:u w:val="single"/>
        </w:rPr>
        <w:t>Innovation Commercialization</w:t>
      </w:r>
    </w:p>
    <w:p w14:paraId="66FD3223" w14:textId="77777777" w:rsidR="005952B1" w:rsidRPr="006346EC" w:rsidRDefault="005952B1" w:rsidP="005952B1">
      <w:pPr>
        <w:pStyle w:val="ListParagraph"/>
        <w:numPr>
          <w:ilvl w:val="1"/>
          <w:numId w:val="34"/>
        </w:numPr>
        <w:rPr>
          <w:rFonts w:ascii="Arial" w:hAnsi="Arial" w:cs="Arial"/>
          <w:color w:val="000000" w:themeColor="text1"/>
          <w:sz w:val="22"/>
          <w:szCs w:val="22"/>
        </w:rPr>
      </w:pPr>
      <w:r w:rsidRPr="006346EC">
        <w:rPr>
          <w:rFonts w:ascii="Arial" w:hAnsi="Arial" w:cs="Arial"/>
          <w:color w:val="000000" w:themeColor="text1"/>
          <w:sz w:val="22"/>
          <w:szCs w:val="22"/>
        </w:rPr>
        <w:t xml:space="preserve">The Enterprise for Research, Innovation and Knowledge’s Innovation and Licensing team advances the university’s research to impact lives by translating Ohio State innovations into business opportunities in the global marketplace. The team is the first resource for inventors at the university and engages with faculty and staff to help evaluate, protect and ultimately find the right market for intellectual property—through licensing or creating a startup company. To accelerate a more focused approach to support innovation and commercialization activities Ohio State is establishing domain specific teams to support innovation and commercialization. The first team, Health Sciences Innovation, launched in 2024 and is focused on innovations in health and life sciences. </w:t>
      </w:r>
    </w:p>
    <w:p w14:paraId="1A795B48" w14:textId="77777777" w:rsidR="005952B1" w:rsidRPr="006346EC" w:rsidRDefault="005952B1" w:rsidP="005952B1">
      <w:pPr>
        <w:pStyle w:val="ListParagraph"/>
        <w:numPr>
          <w:ilvl w:val="0"/>
          <w:numId w:val="34"/>
        </w:numPr>
        <w:rPr>
          <w:rFonts w:ascii="Arial" w:hAnsi="Arial" w:cs="Arial"/>
          <w:color w:val="000000" w:themeColor="text1"/>
          <w:sz w:val="22"/>
          <w:szCs w:val="22"/>
          <w:u w:val="single"/>
        </w:rPr>
      </w:pPr>
      <w:r w:rsidRPr="006346EC">
        <w:rPr>
          <w:rFonts w:ascii="Arial" w:hAnsi="Arial" w:cs="Arial"/>
          <w:color w:val="000000" w:themeColor="text1"/>
          <w:sz w:val="22"/>
          <w:szCs w:val="22"/>
          <w:u w:val="single"/>
        </w:rPr>
        <w:t>Responsible Research Practices Team and Institutional Review Board (IRB)</w:t>
      </w:r>
    </w:p>
    <w:p w14:paraId="3CAFA895" w14:textId="77777777" w:rsidR="005952B1" w:rsidRPr="006346EC" w:rsidRDefault="005952B1" w:rsidP="005952B1">
      <w:pPr>
        <w:pStyle w:val="ListParagraph"/>
        <w:numPr>
          <w:ilvl w:val="1"/>
          <w:numId w:val="34"/>
        </w:numPr>
        <w:rPr>
          <w:rFonts w:ascii="Arial" w:hAnsi="Arial" w:cs="Arial"/>
          <w:color w:val="000000" w:themeColor="text1"/>
          <w:sz w:val="22"/>
          <w:szCs w:val="22"/>
        </w:rPr>
      </w:pPr>
      <w:r w:rsidRPr="006346EC">
        <w:rPr>
          <w:rFonts w:ascii="Arial" w:hAnsi="Arial" w:cs="Arial"/>
          <w:color w:val="000000" w:themeColor="text1"/>
          <w:sz w:val="22"/>
          <w:szCs w:val="22"/>
        </w:rPr>
        <w:t xml:space="preserve">The Enterprise for Research, Innovation and Knowledge’s Responsible Research Practices team provides administrative support to the university research community and the committees responsible for research review and oversight. They help Ohio State faculty, staff and student researchers navigate research requirements through education and quality improvement initiatives designed to facilitate research, improve efficiencies and ensure regulatory compliance. Ohio State has full AAHRPP accreditation from the Association for the Accreditation of Human Research Protection Programs (AAHRPP). The Ohio State Institutional Review Board (IRB) serves as the IRB of record for participating clinical sites. As the IRB of record, Ohio State IRB is responsible for conducting the review of the study protocol in accordance with 21 CFR Parts 50, 56, 312 and 812, 45 CFR 46 and applicable international and local regulations and laws with respect to the initial review, continuing reviews and any potential modifications to the protocol. Ohio State IRB reviews reported adverse events, unanticipated problems involving risks to subjects and any incident of serious noncompliance in accordance with the IRB's defined policies and procedures. All research-related documents require Ohio State IRB review and approval prior to use. The Ohio State IRB </w:t>
      </w:r>
      <w:r w:rsidRPr="006346EC">
        <w:rPr>
          <w:rFonts w:ascii="Arial" w:hAnsi="Arial" w:cs="Arial"/>
          <w:color w:val="000000" w:themeColor="text1"/>
          <w:sz w:val="22"/>
          <w:szCs w:val="22"/>
        </w:rPr>
        <w:lastRenderedPageBreak/>
        <w:t>operates in a transparent manner, readily providing IRB meeting minutes to sites per requests, and investigators and sites are notified in writing of all IRB decisions.</w:t>
      </w:r>
    </w:p>
    <w:p w14:paraId="39E32449" w14:textId="77777777" w:rsidR="005952B1" w:rsidRPr="006346EC" w:rsidRDefault="005952B1" w:rsidP="005952B1">
      <w:pPr>
        <w:pStyle w:val="ListParagraph"/>
        <w:numPr>
          <w:ilvl w:val="0"/>
          <w:numId w:val="34"/>
        </w:numPr>
        <w:rPr>
          <w:rFonts w:ascii="Arial" w:hAnsi="Arial" w:cs="Arial"/>
          <w:color w:val="000000" w:themeColor="text1"/>
          <w:sz w:val="22"/>
          <w:szCs w:val="22"/>
          <w:u w:val="single"/>
        </w:rPr>
      </w:pPr>
      <w:r w:rsidRPr="006346EC">
        <w:rPr>
          <w:rFonts w:ascii="Arial" w:hAnsi="Arial" w:cs="Arial"/>
          <w:color w:val="000000" w:themeColor="text1"/>
          <w:sz w:val="22"/>
          <w:szCs w:val="22"/>
          <w:u w:val="single"/>
        </w:rPr>
        <w:t>Sponsored Programs</w:t>
      </w:r>
    </w:p>
    <w:p w14:paraId="326D4D44" w14:textId="59F3DB49" w:rsidR="005952B1" w:rsidRDefault="005952B1" w:rsidP="005952B1">
      <w:pPr>
        <w:widowControl w:val="0"/>
        <w:ind w:left="1440"/>
        <w:rPr>
          <w:rFonts w:ascii="Arial" w:hAnsi="Arial" w:cs="Arial"/>
          <w:snapToGrid w:val="0"/>
          <w:color w:val="000000" w:themeColor="text1"/>
          <w:sz w:val="22"/>
          <w:szCs w:val="22"/>
        </w:rPr>
      </w:pPr>
      <w:r w:rsidRPr="006346EC">
        <w:rPr>
          <w:rFonts w:ascii="Arial" w:hAnsi="Arial" w:cs="Arial"/>
          <w:color w:val="000000" w:themeColor="text1"/>
          <w:sz w:val="22"/>
          <w:szCs w:val="22"/>
        </w:rPr>
        <w:t>The Enterprise for Research, Innovation and Knowledge sponsored programs team partners with faculty and staff to provide the highest quality research administration at all stages of sponsored projects, from identifying funding sources through award closeout. The team facilitates the scholarly activities of the research community as it positions the university to be the leading public research institution in the nation.</w:t>
      </w:r>
    </w:p>
    <w:bookmarkEnd w:id="2"/>
    <w:p w14:paraId="2074E976" w14:textId="77777777" w:rsidR="000433E0" w:rsidRPr="006346EC" w:rsidRDefault="000433E0" w:rsidP="006346EC">
      <w:pPr>
        <w:rPr>
          <w:rFonts w:ascii="Arial" w:hAnsi="Arial" w:cs="Arial"/>
          <w:color w:val="000000" w:themeColor="text1"/>
          <w:sz w:val="22"/>
          <w:szCs w:val="22"/>
        </w:rPr>
      </w:pPr>
    </w:p>
    <w:p w14:paraId="44E66A87" w14:textId="77777777" w:rsidR="000F399E" w:rsidRPr="006346EC" w:rsidRDefault="000F399E" w:rsidP="006346EC">
      <w:pPr>
        <w:rPr>
          <w:rFonts w:ascii="Arial" w:hAnsi="Arial" w:cs="Arial"/>
          <w:color w:val="000000" w:themeColor="text1"/>
          <w:sz w:val="22"/>
          <w:szCs w:val="22"/>
        </w:rPr>
      </w:pPr>
    </w:p>
    <w:p w14:paraId="266AB1CB" w14:textId="77777777" w:rsidR="009C74F9" w:rsidRDefault="009C74F9" w:rsidP="009C74F9">
      <w:pPr>
        <w:outlineLvl w:val="1"/>
        <w:rPr>
          <w:rFonts w:ascii="Arial" w:eastAsia="Times New Roman" w:hAnsi="Arial" w:cs="Arial"/>
          <w:b/>
          <w:bCs/>
          <w:kern w:val="0"/>
          <w14:ligatures w14:val="none"/>
        </w:rPr>
      </w:pPr>
      <w:r w:rsidRPr="009C74F9">
        <w:rPr>
          <w:rFonts w:ascii="Arial" w:eastAsia="Times New Roman" w:hAnsi="Arial" w:cs="Arial"/>
          <w:b/>
          <w:bCs/>
          <w:kern w:val="0"/>
          <w14:ligatures w14:val="none"/>
        </w:rPr>
        <w:t>Shared Ohio State Resources, Informatics and Technology Infrastructure</w:t>
      </w:r>
    </w:p>
    <w:p w14:paraId="286D30EE" w14:textId="77777777" w:rsidR="009C74F9" w:rsidRPr="009C74F9" w:rsidRDefault="009C74F9" w:rsidP="009C74F9">
      <w:pPr>
        <w:outlineLvl w:val="1"/>
        <w:rPr>
          <w:rFonts w:ascii="Arial" w:eastAsia="Times New Roman" w:hAnsi="Arial" w:cs="Arial"/>
          <w:b/>
          <w:bCs/>
          <w:kern w:val="0"/>
          <w14:ligatures w14:val="none"/>
        </w:rPr>
      </w:pPr>
    </w:p>
    <w:p w14:paraId="66337177" w14:textId="77777777" w:rsidR="009C74F9" w:rsidRPr="009C74F9" w:rsidRDefault="009C74F9" w:rsidP="009C74F9">
      <w:pPr>
        <w:outlineLvl w:val="2"/>
        <w:rPr>
          <w:rFonts w:ascii="Arial" w:eastAsia="Times New Roman" w:hAnsi="Arial" w:cs="Arial"/>
          <w:b/>
          <w:bCs/>
          <w:kern w:val="0"/>
          <w:sz w:val="22"/>
          <w:szCs w:val="22"/>
          <w:u w:val="single"/>
          <w14:ligatures w14:val="none"/>
        </w:rPr>
      </w:pPr>
      <w:r w:rsidRPr="009C74F9">
        <w:rPr>
          <w:rFonts w:ascii="Arial" w:eastAsia="Times New Roman" w:hAnsi="Arial" w:cs="Arial"/>
          <w:b/>
          <w:bCs/>
          <w:kern w:val="0"/>
          <w:sz w:val="22"/>
          <w:szCs w:val="22"/>
          <w:u w:val="single"/>
          <w14:ligatures w14:val="none"/>
        </w:rPr>
        <w:t>Biomedical Informatics Department and Shared Resource (BMI-BISR)</w:t>
      </w:r>
    </w:p>
    <w:p w14:paraId="5E94CF53" w14:textId="77777777" w:rsidR="009C74F9" w:rsidRPr="00D75FE2" w:rsidRDefault="009C74F9" w:rsidP="009C74F9">
      <w:p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 xml:space="preserve">The Department of Biomedical Informatics (BMI) was established in 2001 and is led by Dr. Lang Li (Chair) and Dr. Soledad Fernández (Vice Chair)—internationally recognized leaders in the application of BMI theories and methods to advance clinical and translational science. Reflecting its mission and vision, BMI is home to a rapidly expanding program of basic and applied innovation, catalyzed by a wealth of driving biological and clinical challenges from the comprehensive basic science and clinical units across OSUWMC and the broader Ohio State community. BMI houses undergraduate, graduate, post-graduate, professional and distance education programs, alongside a suite of consultative services targeting the needs of basic, clinical and translational researchers across central Ohio. </w:t>
      </w:r>
    </w:p>
    <w:p w14:paraId="0DE28EFA" w14:textId="77777777" w:rsidR="009C74F9" w:rsidRPr="00D75FE2" w:rsidRDefault="009C74F9" w:rsidP="009C74F9">
      <w:p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 xml:space="preserve">BMI is housed in a purpose-built facility encompassing over 50,000 sq. ft. on the second and third floors of Lincoln Tower, adjacent to OSUWMC, which facilitates PCORI networking opportunities and cross-disciplinary collaborations. The space accommodates faculty, research staff, programmers, pre- and post-doctoral trainees, graduate and undergraduate students, the Informatics Research and Development team and Data Core analysts. Consultative services provided by BMI include EHR content development for research purposes, research data warehousing and registries, electronic data capture/management, bioinformatics, biostatistics and software engineering. Additionally, BMI strongly emphasizes training in the responsible conduct of research by encouraging participation in online CITI modules, departmental seminar courses and faculty-led research-in-progress sessions, with research ethics support provided through the Ohio State CTSI, Design, Biostatistics and Research Ethics Support and Training Core and the Ohio State Center for Ethics and Human Values. </w:t>
      </w:r>
    </w:p>
    <w:p w14:paraId="2C0DD379" w14:textId="77777777" w:rsidR="009C74F9" w:rsidRDefault="009C74F9" w:rsidP="009C74F9">
      <w:pPr>
        <w:rPr>
          <w:rFonts w:ascii="Arial" w:eastAsia="Times New Roman" w:hAnsi="Arial" w:cs="Arial"/>
          <w:b/>
          <w:bCs/>
          <w:kern w:val="0"/>
          <w:sz w:val="22"/>
          <w:szCs w:val="22"/>
          <w14:ligatures w14:val="none"/>
        </w:rPr>
      </w:pPr>
    </w:p>
    <w:p w14:paraId="4793CEE8" w14:textId="3C15D15E" w:rsidR="009C74F9" w:rsidRPr="00D75FE2" w:rsidRDefault="009C74F9" w:rsidP="009C74F9">
      <w:pPr>
        <w:rPr>
          <w:rFonts w:ascii="Arial" w:eastAsia="Times New Roman" w:hAnsi="Arial" w:cs="Arial"/>
          <w:kern w:val="0"/>
          <w:sz w:val="22"/>
          <w:szCs w:val="22"/>
          <w14:ligatures w14:val="none"/>
        </w:rPr>
      </w:pPr>
      <w:r w:rsidRPr="009C74F9">
        <w:rPr>
          <w:rFonts w:ascii="Arial" w:eastAsia="Times New Roman" w:hAnsi="Arial" w:cs="Arial"/>
          <w:b/>
          <w:bCs/>
          <w:kern w:val="0"/>
          <w:sz w:val="22"/>
          <w:szCs w:val="22"/>
          <w:u w:val="single"/>
          <w14:ligatures w14:val="none"/>
        </w:rPr>
        <w:t>BMI – Biomedical Informatics Shared Resource (BMI-BISR) / Ohio State Bioinformatics Center</w:t>
      </w:r>
      <w:r w:rsidRPr="00D75FE2">
        <w:rPr>
          <w:rFonts w:ascii="Arial" w:eastAsia="Times New Roman" w:hAnsi="Arial" w:cs="Arial"/>
          <w:b/>
          <w:bCs/>
          <w:kern w:val="0"/>
          <w:sz w:val="22"/>
          <w:szCs w:val="22"/>
          <w14:ligatures w14:val="none"/>
        </w:rPr>
        <w:t>:</w:t>
      </w:r>
      <w:r w:rsidRPr="00D75FE2">
        <w:rPr>
          <w:rFonts w:ascii="Arial" w:eastAsia="Times New Roman" w:hAnsi="Arial" w:cs="Arial"/>
          <w:kern w:val="0"/>
          <w:sz w:val="22"/>
          <w:szCs w:val="22"/>
          <w14:ligatures w14:val="none"/>
        </w:rPr>
        <w:t xml:space="preserve"> The Biomedical Informatics Shared Resource (BMI-BISR), also serving as the Ohio State Bioinformatics Center, supports advanced biological and biomedical research conducted by Ohio State researchers by facilitating high-throughput, novel experiments that link multidimensional phenotypic and biomolecular datasets. BISR utilizes and coordinates data-intensive computational methods for all high-throughput data analysis, as well as pathway and network analysis. BISR also assists researchers with accessing publicly available data to generate new hypotheses and draw new conclusions via integrative analysis of both public and private data sources. BISR fosters collaborations with Ohio State researchers, customizes analysis workflows to meet the unique needs of their projects, interprets and presents results, works on manuscript preparation and designs and plans grant applications. </w:t>
      </w:r>
    </w:p>
    <w:p w14:paraId="0C757C11" w14:textId="77777777" w:rsidR="009C74F9" w:rsidRPr="00D75FE2" w:rsidRDefault="009C74F9" w:rsidP="009C74F9">
      <w:p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 xml:space="preserve">Specific applications include: </w:t>
      </w:r>
    </w:p>
    <w:p w14:paraId="12254D3A" w14:textId="77777777" w:rsidR="009C74F9" w:rsidRPr="00D75FE2" w:rsidRDefault="009C74F9" w:rsidP="009C74F9">
      <w:pPr>
        <w:numPr>
          <w:ilvl w:val="0"/>
          <w:numId w:val="39"/>
        </w:numPr>
        <w:rPr>
          <w:rFonts w:ascii="Arial" w:eastAsia="Times New Roman" w:hAnsi="Arial" w:cs="Arial"/>
          <w:kern w:val="0"/>
          <w:sz w:val="22"/>
          <w:szCs w:val="22"/>
          <w14:ligatures w14:val="none"/>
        </w:rPr>
      </w:pPr>
      <w:r w:rsidRPr="00D75FE2">
        <w:rPr>
          <w:rFonts w:ascii="Arial" w:eastAsia="Times New Roman" w:hAnsi="Arial" w:cs="Arial"/>
          <w:b/>
          <w:bCs/>
          <w:kern w:val="0"/>
          <w:sz w:val="22"/>
          <w:szCs w:val="22"/>
          <w14:ligatures w14:val="none"/>
        </w:rPr>
        <w:t>Next-Generation Sequencing:</w:t>
      </w:r>
      <w:r w:rsidRPr="00D75FE2">
        <w:rPr>
          <w:rFonts w:ascii="Arial" w:eastAsia="Times New Roman" w:hAnsi="Arial" w:cs="Arial"/>
          <w:kern w:val="0"/>
          <w:sz w:val="22"/>
          <w:szCs w:val="22"/>
          <w14:ligatures w14:val="none"/>
        </w:rPr>
        <w:t xml:space="preserve"> Analysis of next-generation sequencing data including whole exome-sequencing, RNA-sequencing, </w:t>
      </w:r>
      <w:proofErr w:type="spellStart"/>
      <w:r w:rsidRPr="00D75FE2">
        <w:rPr>
          <w:rFonts w:ascii="Arial" w:eastAsia="Times New Roman" w:hAnsi="Arial" w:cs="Arial"/>
          <w:kern w:val="0"/>
          <w:sz w:val="22"/>
          <w:szCs w:val="22"/>
          <w14:ligatures w14:val="none"/>
        </w:rPr>
        <w:t>smRNA</w:t>
      </w:r>
      <w:proofErr w:type="spellEnd"/>
      <w:r w:rsidRPr="00D75FE2">
        <w:rPr>
          <w:rFonts w:ascii="Arial" w:eastAsia="Times New Roman" w:hAnsi="Arial" w:cs="Arial"/>
          <w:kern w:val="0"/>
          <w:sz w:val="22"/>
          <w:szCs w:val="22"/>
          <w14:ligatures w14:val="none"/>
        </w:rPr>
        <w:t xml:space="preserve">-sequencing, </w:t>
      </w:r>
      <w:proofErr w:type="spellStart"/>
      <w:r w:rsidRPr="00D75FE2">
        <w:rPr>
          <w:rFonts w:ascii="Arial" w:eastAsia="Times New Roman" w:hAnsi="Arial" w:cs="Arial"/>
          <w:kern w:val="0"/>
          <w:sz w:val="22"/>
          <w:szCs w:val="22"/>
          <w14:ligatures w14:val="none"/>
        </w:rPr>
        <w:t>ChIP</w:t>
      </w:r>
      <w:proofErr w:type="spellEnd"/>
      <w:r w:rsidRPr="00D75FE2">
        <w:rPr>
          <w:rFonts w:ascii="Arial" w:eastAsia="Times New Roman" w:hAnsi="Arial" w:cs="Arial"/>
          <w:kern w:val="0"/>
          <w:sz w:val="22"/>
          <w:szCs w:val="22"/>
          <w14:ligatures w14:val="none"/>
        </w:rPr>
        <w:t xml:space="preserve">-sequencing, ATAC-sequencing and whole genome re-sequencing. </w:t>
      </w:r>
    </w:p>
    <w:p w14:paraId="3C1074A0" w14:textId="77777777" w:rsidR="009C74F9" w:rsidRPr="00D75FE2" w:rsidRDefault="009C74F9" w:rsidP="009C74F9">
      <w:pPr>
        <w:numPr>
          <w:ilvl w:val="0"/>
          <w:numId w:val="39"/>
        </w:numPr>
        <w:rPr>
          <w:rFonts w:ascii="Arial" w:eastAsia="Times New Roman" w:hAnsi="Arial" w:cs="Arial"/>
          <w:kern w:val="0"/>
          <w:sz w:val="22"/>
          <w:szCs w:val="22"/>
          <w14:ligatures w14:val="none"/>
        </w:rPr>
      </w:pPr>
      <w:r w:rsidRPr="00D75FE2">
        <w:rPr>
          <w:rFonts w:ascii="Arial" w:eastAsia="Times New Roman" w:hAnsi="Arial" w:cs="Arial"/>
          <w:b/>
          <w:bCs/>
          <w:kern w:val="0"/>
          <w:sz w:val="22"/>
          <w:szCs w:val="22"/>
          <w14:ligatures w14:val="none"/>
        </w:rPr>
        <w:t>Long-Read Sequencing:</w:t>
      </w:r>
      <w:r w:rsidRPr="00D75FE2">
        <w:rPr>
          <w:rFonts w:ascii="Arial" w:eastAsia="Times New Roman" w:hAnsi="Arial" w:cs="Arial"/>
          <w:kern w:val="0"/>
          <w:sz w:val="22"/>
          <w:szCs w:val="22"/>
          <w14:ligatures w14:val="none"/>
        </w:rPr>
        <w:t xml:space="preserve"> Analysis of long-read sequencing (such as PacBio and Oxford Nanopore Sequencing) including QC and error correction of long reads, gene/gene isoform expression, novel gene discovery and full-length isoform identification, de novo fusion gene detection and corresponding fusion isoform expression profiles, allele-specific expression and haplotyping, de novo genome assembly, de novo transcriptome assembly, methylation calling, nucleosome positioning and chromatin accessibility. </w:t>
      </w:r>
    </w:p>
    <w:p w14:paraId="5E56EDB3" w14:textId="77777777" w:rsidR="009C74F9" w:rsidRPr="00D75FE2" w:rsidRDefault="009C74F9" w:rsidP="009C74F9">
      <w:pPr>
        <w:numPr>
          <w:ilvl w:val="0"/>
          <w:numId w:val="39"/>
        </w:numPr>
        <w:rPr>
          <w:rFonts w:ascii="Arial" w:eastAsia="Times New Roman" w:hAnsi="Arial" w:cs="Arial"/>
          <w:kern w:val="0"/>
          <w:sz w:val="22"/>
          <w:szCs w:val="22"/>
          <w14:ligatures w14:val="none"/>
        </w:rPr>
      </w:pPr>
      <w:r w:rsidRPr="00D75FE2">
        <w:rPr>
          <w:rFonts w:ascii="Arial" w:eastAsia="Times New Roman" w:hAnsi="Arial" w:cs="Arial"/>
          <w:b/>
          <w:bCs/>
          <w:kern w:val="0"/>
          <w:sz w:val="22"/>
          <w:szCs w:val="22"/>
          <w14:ligatures w14:val="none"/>
        </w:rPr>
        <w:t>Single-Cell RNA-Seq Data Analysis Services:</w:t>
      </w:r>
    </w:p>
    <w:p w14:paraId="47E9C21F" w14:textId="77777777" w:rsidR="009C74F9" w:rsidRPr="00D75FE2" w:rsidRDefault="009C74F9" w:rsidP="009C74F9">
      <w:pPr>
        <w:numPr>
          <w:ilvl w:val="1"/>
          <w:numId w:val="39"/>
        </w:num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 xml:space="preserve">Basic </w:t>
      </w:r>
      <w:proofErr w:type="spellStart"/>
      <w:r w:rsidRPr="00D75FE2">
        <w:rPr>
          <w:rFonts w:ascii="Arial" w:eastAsia="Times New Roman" w:hAnsi="Arial" w:cs="Arial"/>
          <w:kern w:val="0"/>
          <w:sz w:val="22"/>
          <w:szCs w:val="22"/>
          <w14:ligatures w14:val="none"/>
        </w:rPr>
        <w:t>scRNA</w:t>
      </w:r>
      <w:proofErr w:type="spellEnd"/>
      <w:r w:rsidRPr="00D75FE2">
        <w:rPr>
          <w:rFonts w:ascii="Arial" w:eastAsia="Times New Roman" w:hAnsi="Arial" w:cs="Arial"/>
          <w:kern w:val="0"/>
          <w:sz w:val="22"/>
          <w:szCs w:val="22"/>
          <w14:ligatures w14:val="none"/>
        </w:rPr>
        <w:t xml:space="preserve">-seq data analyses, including quality control, alignment, trimming, assembly, differentiation expression and clustering, using developed pipelines </w:t>
      </w:r>
    </w:p>
    <w:p w14:paraId="6DC8EDC9" w14:textId="77777777" w:rsidR="009C74F9" w:rsidRPr="00D75FE2" w:rsidRDefault="009C74F9" w:rsidP="009C74F9">
      <w:pPr>
        <w:numPr>
          <w:ilvl w:val="1"/>
          <w:numId w:val="39"/>
        </w:num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lastRenderedPageBreak/>
        <w:t xml:space="preserve">Advanced </w:t>
      </w:r>
      <w:proofErr w:type="spellStart"/>
      <w:r w:rsidRPr="00D75FE2">
        <w:rPr>
          <w:rFonts w:ascii="Arial" w:eastAsia="Times New Roman" w:hAnsi="Arial" w:cs="Arial"/>
          <w:kern w:val="0"/>
          <w:sz w:val="22"/>
          <w:szCs w:val="22"/>
          <w14:ligatures w14:val="none"/>
        </w:rPr>
        <w:t>scRNA</w:t>
      </w:r>
      <w:proofErr w:type="spellEnd"/>
      <w:r w:rsidRPr="00D75FE2">
        <w:rPr>
          <w:rFonts w:ascii="Arial" w:eastAsia="Times New Roman" w:hAnsi="Arial" w:cs="Arial"/>
          <w:kern w:val="0"/>
          <w:sz w:val="22"/>
          <w:szCs w:val="22"/>
          <w14:ligatures w14:val="none"/>
        </w:rPr>
        <w:t xml:space="preserve">-seq data analyses, including but not limited to cell trajectory discovery, cell type prediction and co-regulated gene module identification </w:t>
      </w:r>
    </w:p>
    <w:p w14:paraId="50571FA5" w14:textId="77777777" w:rsidR="009C74F9" w:rsidRPr="00D75FE2" w:rsidRDefault="009C74F9" w:rsidP="009C74F9">
      <w:pPr>
        <w:numPr>
          <w:ilvl w:val="1"/>
          <w:numId w:val="39"/>
        </w:num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 xml:space="preserve">Selective </w:t>
      </w:r>
      <w:proofErr w:type="spellStart"/>
      <w:r w:rsidRPr="00D75FE2">
        <w:rPr>
          <w:rFonts w:ascii="Arial" w:eastAsia="Times New Roman" w:hAnsi="Arial" w:cs="Arial"/>
          <w:kern w:val="0"/>
          <w:sz w:val="22"/>
          <w:szCs w:val="22"/>
          <w14:ligatures w14:val="none"/>
        </w:rPr>
        <w:t>scRNA</w:t>
      </w:r>
      <w:proofErr w:type="spellEnd"/>
      <w:r w:rsidRPr="00D75FE2">
        <w:rPr>
          <w:rFonts w:ascii="Arial" w:eastAsia="Times New Roman" w:hAnsi="Arial" w:cs="Arial"/>
          <w:kern w:val="0"/>
          <w:sz w:val="22"/>
          <w:szCs w:val="22"/>
          <w14:ligatures w14:val="none"/>
        </w:rPr>
        <w:t xml:space="preserve">-seq analyses aimed at solving specific issues such as drop-out issues and immense expression data (i.e., 10X </w:t>
      </w:r>
      <w:proofErr w:type="spellStart"/>
      <w:r w:rsidRPr="00D75FE2">
        <w:rPr>
          <w:rFonts w:ascii="Arial" w:eastAsia="Times New Roman" w:hAnsi="Arial" w:cs="Arial"/>
          <w:kern w:val="0"/>
          <w:sz w:val="22"/>
          <w:szCs w:val="22"/>
          <w14:ligatures w14:val="none"/>
        </w:rPr>
        <w:t>scRNA</w:t>
      </w:r>
      <w:proofErr w:type="spellEnd"/>
      <w:r w:rsidRPr="00D75FE2">
        <w:rPr>
          <w:rFonts w:ascii="Arial" w:eastAsia="Times New Roman" w:hAnsi="Arial" w:cs="Arial"/>
          <w:kern w:val="0"/>
          <w:sz w:val="22"/>
          <w:szCs w:val="22"/>
          <w14:ligatures w14:val="none"/>
        </w:rPr>
        <w:t xml:space="preserve">-seq data) </w:t>
      </w:r>
    </w:p>
    <w:p w14:paraId="3965DEE0" w14:textId="77777777" w:rsidR="009C74F9" w:rsidRPr="00D75FE2" w:rsidRDefault="009C74F9" w:rsidP="009C74F9">
      <w:pPr>
        <w:numPr>
          <w:ilvl w:val="1"/>
          <w:numId w:val="39"/>
        </w:num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 xml:space="preserve">Result interpretation and presentation </w:t>
      </w:r>
    </w:p>
    <w:p w14:paraId="1423FA5D" w14:textId="77777777" w:rsidR="009C74F9" w:rsidRPr="00D75FE2" w:rsidRDefault="009C74F9" w:rsidP="009C74F9">
      <w:pPr>
        <w:numPr>
          <w:ilvl w:val="1"/>
          <w:numId w:val="39"/>
        </w:num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 xml:space="preserve">An all-in-one user-friendly web server for </w:t>
      </w:r>
      <w:proofErr w:type="spellStart"/>
      <w:r w:rsidRPr="00D75FE2">
        <w:rPr>
          <w:rFonts w:ascii="Arial" w:eastAsia="Times New Roman" w:hAnsi="Arial" w:cs="Arial"/>
          <w:kern w:val="0"/>
          <w:sz w:val="22"/>
          <w:szCs w:val="22"/>
          <w14:ligatures w14:val="none"/>
        </w:rPr>
        <w:t>scRNA</w:t>
      </w:r>
      <w:proofErr w:type="spellEnd"/>
      <w:r w:rsidRPr="00D75FE2">
        <w:rPr>
          <w:rFonts w:ascii="Arial" w:eastAsia="Times New Roman" w:hAnsi="Arial" w:cs="Arial"/>
          <w:kern w:val="0"/>
          <w:sz w:val="22"/>
          <w:szCs w:val="22"/>
          <w14:ligatures w14:val="none"/>
        </w:rPr>
        <w:t xml:space="preserve">-seq analysis </w:t>
      </w:r>
    </w:p>
    <w:p w14:paraId="43488419" w14:textId="77777777" w:rsidR="009C74F9" w:rsidRPr="00D75FE2" w:rsidRDefault="009C74F9" w:rsidP="009C74F9">
      <w:pPr>
        <w:numPr>
          <w:ilvl w:val="1"/>
          <w:numId w:val="39"/>
        </w:num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 xml:space="preserve">Integrative analysis of single-cell multi-omics data to enhance effectiveness and efficiency </w:t>
      </w:r>
    </w:p>
    <w:p w14:paraId="50008368" w14:textId="77777777" w:rsidR="009C74F9" w:rsidRPr="00D75FE2" w:rsidRDefault="009C74F9" w:rsidP="009C74F9">
      <w:pPr>
        <w:numPr>
          <w:ilvl w:val="0"/>
          <w:numId w:val="39"/>
        </w:numPr>
        <w:rPr>
          <w:rFonts w:ascii="Arial" w:eastAsia="Times New Roman" w:hAnsi="Arial" w:cs="Arial"/>
          <w:kern w:val="0"/>
          <w:sz w:val="22"/>
          <w:szCs w:val="22"/>
          <w14:ligatures w14:val="none"/>
        </w:rPr>
      </w:pPr>
      <w:r w:rsidRPr="00D75FE2">
        <w:rPr>
          <w:rFonts w:ascii="Arial" w:eastAsia="Times New Roman" w:hAnsi="Arial" w:cs="Arial"/>
          <w:b/>
          <w:bCs/>
          <w:kern w:val="0"/>
          <w:sz w:val="22"/>
          <w:szCs w:val="22"/>
          <w14:ligatures w14:val="none"/>
        </w:rPr>
        <w:t>Metagenomic Data Analysis Services:</w:t>
      </w:r>
      <w:r w:rsidRPr="00D75FE2">
        <w:rPr>
          <w:rFonts w:ascii="Arial" w:eastAsia="Times New Roman" w:hAnsi="Arial" w:cs="Arial"/>
          <w:kern w:val="0"/>
          <w:sz w:val="22"/>
          <w:szCs w:val="22"/>
          <w14:ligatures w14:val="none"/>
        </w:rPr>
        <w:t xml:space="preserve"> </w:t>
      </w:r>
    </w:p>
    <w:p w14:paraId="3EBDFBD5" w14:textId="77777777" w:rsidR="009C74F9" w:rsidRPr="00D75FE2" w:rsidRDefault="009C74F9" w:rsidP="009C74F9">
      <w:pPr>
        <w:numPr>
          <w:ilvl w:val="1"/>
          <w:numId w:val="39"/>
        </w:num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 xml:space="preserve">Metagenomic data analysis including species/strain composition profiling, taxonomic analysis, abundance analysis, phylogenetic analysis and whole-genome shotgun analysis </w:t>
      </w:r>
    </w:p>
    <w:p w14:paraId="1972E60F" w14:textId="77777777" w:rsidR="009C74F9" w:rsidRPr="00D75FE2" w:rsidRDefault="009C74F9" w:rsidP="009C74F9">
      <w:pPr>
        <w:numPr>
          <w:ilvl w:val="1"/>
          <w:numId w:val="39"/>
        </w:numPr>
        <w:rPr>
          <w:rFonts w:ascii="Arial" w:eastAsia="Times New Roman" w:hAnsi="Arial" w:cs="Arial"/>
          <w:kern w:val="0"/>
          <w:sz w:val="22"/>
          <w:szCs w:val="22"/>
          <w14:ligatures w14:val="none"/>
        </w:rPr>
      </w:pPr>
      <w:proofErr w:type="spellStart"/>
      <w:r w:rsidRPr="00D75FE2">
        <w:rPr>
          <w:rFonts w:ascii="Arial" w:eastAsia="Times New Roman" w:hAnsi="Arial" w:cs="Arial"/>
          <w:kern w:val="0"/>
          <w:sz w:val="22"/>
          <w:szCs w:val="22"/>
          <w14:ligatures w14:val="none"/>
        </w:rPr>
        <w:t>Metatranscriptomic</w:t>
      </w:r>
      <w:proofErr w:type="spellEnd"/>
      <w:r w:rsidRPr="00D75FE2">
        <w:rPr>
          <w:rFonts w:ascii="Arial" w:eastAsia="Times New Roman" w:hAnsi="Arial" w:cs="Arial"/>
          <w:kern w:val="0"/>
          <w:sz w:val="22"/>
          <w:szCs w:val="22"/>
          <w14:ligatures w14:val="none"/>
        </w:rPr>
        <w:t xml:space="preserve"> data analysis including functional profiling, expression activity analysis, 16S ribosomal RNA analysis and whole-transcriptome shotgun analysis </w:t>
      </w:r>
    </w:p>
    <w:p w14:paraId="67F09275" w14:textId="77777777" w:rsidR="009C74F9" w:rsidRPr="00D75FE2" w:rsidRDefault="009C74F9" w:rsidP="009C74F9">
      <w:pPr>
        <w:numPr>
          <w:ilvl w:val="1"/>
          <w:numId w:val="39"/>
        </w:num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 xml:space="preserve">Advanced joint metagenomic and </w:t>
      </w:r>
      <w:proofErr w:type="spellStart"/>
      <w:r w:rsidRPr="00D75FE2">
        <w:rPr>
          <w:rFonts w:ascii="Arial" w:eastAsia="Times New Roman" w:hAnsi="Arial" w:cs="Arial"/>
          <w:kern w:val="0"/>
          <w:sz w:val="22"/>
          <w:szCs w:val="22"/>
          <w14:ligatures w14:val="none"/>
        </w:rPr>
        <w:t>metatranscriptomics</w:t>
      </w:r>
      <w:proofErr w:type="spellEnd"/>
      <w:r w:rsidRPr="00D75FE2">
        <w:rPr>
          <w:rFonts w:ascii="Arial" w:eastAsia="Times New Roman" w:hAnsi="Arial" w:cs="Arial"/>
          <w:kern w:val="0"/>
          <w:sz w:val="22"/>
          <w:szCs w:val="22"/>
          <w14:ligatures w14:val="none"/>
        </w:rPr>
        <w:t xml:space="preserve"> data analysis for more accurate gene-level, species-level and strain-level analysis </w:t>
      </w:r>
    </w:p>
    <w:p w14:paraId="132F7783" w14:textId="77777777" w:rsidR="009C74F9" w:rsidRPr="00D75FE2" w:rsidRDefault="009C74F9" w:rsidP="009C74F9">
      <w:pPr>
        <w:numPr>
          <w:ilvl w:val="1"/>
          <w:numId w:val="39"/>
        </w:num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 xml:space="preserve">Network studies in microbiome and host–microbiota interactions based on high-throughput multi-omics data </w:t>
      </w:r>
    </w:p>
    <w:p w14:paraId="1F088A60" w14:textId="77777777" w:rsidR="009C74F9" w:rsidRPr="00D75FE2" w:rsidRDefault="009C74F9" w:rsidP="009C74F9">
      <w:pPr>
        <w:numPr>
          <w:ilvl w:val="1"/>
          <w:numId w:val="39"/>
        </w:num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 xml:space="preserve">Causality studies between human microbiota and diseases </w:t>
      </w:r>
    </w:p>
    <w:p w14:paraId="25B137AE" w14:textId="77777777" w:rsidR="009C74F9" w:rsidRPr="00D75FE2" w:rsidRDefault="009C74F9" w:rsidP="009C74F9">
      <w:pPr>
        <w:numPr>
          <w:ilvl w:val="1"/>
          <w:numId w:val="39"/>
        </w:num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 xml:space="preserve">Existing tools/pipelines recommendation, analyst training and guidance </w:t>
      </w:r>
    </w:p>
    <w:p w14:paraId="1AB1C789" w14:textId="77777777" w:rsidR="009C74F9" w:rsidRPr="00D75FE2" w:rsidRDefault="009C74F9" w:rsidP="009C74F9">
      <w:pPr>
        <w:numPr>
          <w:ilvl w:val="0"/>
          <w:numId w:val="39"/>
        </w:numPr>
        <w:rPr>
          <w:rFonts w:ascii="Arial" w:eastAsia="Times New Roman" w:hAnsi="Arial" w:cs="Arial"/>
          <w:kern w:val="0"/>
          <w:sz w:val="22"/>
          <w:szCs w:val="22"/>
          <w14:ligatures w14:val="none"/>
        </w:rPr>
      </w:pPr>
      <w:r w:rsidRPr="00D75FE2">
        <w:rPr>
          <w:rFonts w:ascii="Arial" w:eastAsia="Times New Roman" w:hAnsi="Arial" w:cs="Arial"/>
          <w:b/>
          <w:bCs/>
          <w:kern w:val="0"/>
          <w:sz w:val="22"/>
          <w:szCs w:val="22"/>
          <w14:ligatures w14:val="none"/>
        </w:rPr>
        <w:t>Microarray and Targeted Assays:</w:t>
      </w:r>
      <w:r w:rsidRPr="00D75FE2">
        <w:rPr>
          <w:rFonts w:ascii="Arial" w:eastAsia="Times New Roman" w:hAnsi="Arial" w:cs="Arial"/>
          <w:kern w:val="0"/>
          <w:sz w:val="22"/>
          <w:szCs w:val="22"/>
          <w14:ligatures w14:val="none"/>
        </w:rPr>
        <w:t xml:space="preserve"> Analysis of microarray datasets including mRNA (Affymetrix), SNP and micro-RNA, as well as analysis of nCounter NanoString data. </w:t>
      </w:r>
    </w:p>
    <w:p w14:paraId="31408486" w14:textId="77777777" w:rsidR="009C74F9" w:rsidRPr="00D75FE2" w:rsidRDefault="009C74F9" w:rsidP="009C74F9">
      <w:pPr>
        <w:numPr>
          <w:ilvl w:val="0"/>
          <w:numId w:val="39"/>
        </w:numPr>
        <w:rPr>
          <w:rFonts w:ascii="Arial" w:eastAsia="Times New Roman" w:hAnsi="Arial" w:cs="Arial"/>
          <w:kern w:val="0"/>
          <w:sz w:val="22"/>
          <w:szCs w:val="22"/>
          <w14:ligatures w14:val="none"/>
        </w:rPr>
      </w:pPr>
      <w:r w:rsidRPr="00D75FE2">
        <w:rPr>
          <w:rFonts w:ascii="Arial" w:eastAsia="Times New Roman" w:hAnsi="Arial" w:cs="Arial"/>
          <w:b/>
          <w:bCs/>
          <w:kern w:val="0"/>
          <w:sz w:val="22"/>
          <w:szCs w:val="22"/>
          <w14:ligatures w14:val="none"/>
        </w:rPr>
        <w:t>Proteomics Data Analysis:</w:t>
      </w:r>
    </w:p>
    <w:p w14:paraId="1328D389" w14:textId="77777777" w:rsidR="009C74F9" w:rsidRPr="00D75FE2" w:rsidRDefault="009C74F9" w:rsidP="009C74F9">
      <w:pPr>
        <w:numPr>
          <w:ilvl w:val="1"/>
          <w:numId w:val="39"/>
        </w:num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 xml:space="preserve">Protein/peptide identification and quantification from label-free and label-based tandem mass spectrometry data </w:t>
      </w:r>
    </w:p>
    <w:p w14:paraId="2047F3DB" w14:textId="77777777" w:rsidR="009C74F9" w:rsidRPr="00D75FE2" w:rsidRDefault="009C74F9" w:rsidP="009C74F9">
      <w:pPr>
        <w:numPr>
          <w:ilvl w:val="1"/>
          <w:numId w:val="39"/>
        </w:num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 xml:space="preserve">Post-translational modification analysis (PTM), such as phosphorylation </w:t>
      </w:r>
    </w:p>
    <w:p w14:paraId="0362DE2C" w14:textId="77777777" w:rsidR="009C74F9" w:rsidRPr="00D75FE2" w:rsidRDefault="009C74F9" w:rsidP="009C74F9">
      <w:pPr>
        <w:numPr>
          <w:ilvl w:val="1"/>
          <w:numId w:val="39"/>
        </w:num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 xml:space="preserve">Downstream bioinformatics analysis, such as differential expression analysis, pathway analysis and functional enrichment analysis, and network analysis involving finding pivotal proteins in networks </w:t>
      </w:r>
    </w:p>
    <w:p w14:paraId="02F1E7A6" w14:textId="77777777" w:rsidR="009C74F9" w:rsidRPr="00D75FE2" w:rsidRDefault="009C74F9" w:rsidP="009C74F9">
      <w:pPr>
        <w:numPr>
          <w:ilvl w:val="0"/>
          <w:numId w:val="39"/>
        </w:numPr>
        <w:rPr>
          <w:rFonts w:ascii="Arial" w:eastAsia="Times New Roman" w:hAnsi="Arial" w:cs="Arial"/>
          <w:kern w:val="0"/>
          <w:sz w:val="22"/>
          <w:szCs w:val="22"/>
          <w14:ligatures w14:val="none"/>
        </w:rPr>
      </w:pPr>
      <w:r w:rsidRPr="00D75FE2">
        <w:rPr>
          <w:rFonts w:ascii="Arial" w:eastAsia="Times New Roman" w:hAnsi="Arial" w:cs="Arial"/>
          <w:b/>
          <w:bCs/>
          <w:kern w:val="0"/>
          <w:sz w:val="22"/>
          <w:szCs w:val="22"/>
          <w14:ligatures w14:val="none"/>
        </w:rPr>
        <w:t>Metabolomics Data Analysis:</w:t>
      </w:r>
    </w:p>
    <w:p w14:paraId="15507E7C" w14:textId="77777777" w:rsidR="009C74F9" w:rsidRPr="00D75FE2" w:rsidRDefault="009C74F9" w:rsidP="009C74F9">
      <w:pPr>
        <w:numPr>
          <w:ilvl w:val="1"/>
          <w:numId w:val="39"/>
        </w:num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 xml:space="preserve">LC-MS data preprocessing (including quality control assessment of raw chromatograms, peak calling, retention time alignment and preliminary identification using MS2 data if available) </w:t>
      </w:r>
    </w:p>
    <w:p w14:paraId="4C1110D9" w14:textId="77777777" w:rsidR="009C74F9" w:rsidRPr="00D75FE2" w:rsidRDefault="009C74F9" w:rsidP="009C74F9">
      <w:pPr>
        <w:numPr>
          <w:ilvl w:val="1"/>
          <w:numId w:val="39"/>
        </w:num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 xml:space="preserve">Interpretation of liquid-chromatography untargeted metabolomics datasets, which include relative abundances of a broad spectrum of polar and non-polar small molecules (&lt; 1500 Daltons) </w:t>
      </w:r>
    </w:p>
    <w:p w14:paraId="45C02F58" w14:textId="77777777" w:rsidR="009C74F9" w:rsidRPr="00D75FE2" w:rsidRDefault="009C74F9" w:rsidP="009C74F9">
      <w:pPr>
        <w:numPr>
          <w:ilvl w:val="1"/>
          <w:numId w:val="39"/>
        </w:num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 xml:space="preserve">Statistical analysis to identify biologically relevant metabolites </w:t>
      </w:r>
    </w:p>
    <w:p w14:paraId="78E52CFD" w14:textId="77777777" w:rsidR="009C74F9" w:rsidRPr="00D75FE2" w:rsidRDefault="009C74F9" w:rsidP="009C74F9">
      <w:pPr>
        <w:numPr>
          <w:ilvl w:val="1"/>
          <w:numId w:val="39"/>
        </w:num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 xml:space="preserve">Pathway enrichment analysis of relevant metabolites </w:t>
      </w:r>
    </w:p>
    <w:p w14:paraId="0AFBE6F1" w14:textId="77777777" w:rsidR="009C74F9" w:rsidRPr="00D75FE2" w:rsidRDefault="009C74F9" w:rsidP="009C74F9">
      <w:pPr>
        <w:numPr>
          <w:ilvl w:val="0"/>
          <w:numId w:val="39"/>
        </w:numPr>
        <w:rPr>
          <w:rFonts w:ascii="Arial" w:eastAsia="Times New Roman" w:hAnsi="Arial" w:cs="Arial"/>
          <w:kern w:val="0"/>
          <w:sz w:val="22"/>
          <w:szCs w:val="22"/>
          <w14:ligatures w14:val="none"/>
        </w:rPr>
      </w:pPr>
      <w:r w:rsidRPr="00D75FE2">
        <w:rPr>
          <w:rFonts w:ascii="Arial" w:eastAsia="Times New Roman" w:hAnsi="Arial" w:cs="Arial"/>
          <w:b/>
          <w:bCs/>
          <w:kern w:val="0"/>
          <w:sz w:val="22"/>
          <w:szCs w:val="22"/>
          <w14:ligatures w14:val="none"/>
        </w:rPr>
        <w:t>Integrative and Custom Precision Medicine Services:</w:t>
      </w:r>
    </w:p>
    <w:p w14:paraId="7CD756C8" w14:textId="77777777" w:rsidR="009C74F9" w:rsidRPr="00D75FE2" w:rsidRDefault="009C74F9" w:rsidP="009C74F9">
      <w:pPr>
        <w:numPr>
          <w:ilvl w:val="1"/>
          <w:numId w:val="39"/>
        </w:num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Integrative analysis of publicly available datasets (</w:t>
      </w:r>
      <w:proofErr w:type="spellStart"/>
      <w:r w:rsidRPr="00D75FE2">
        <w:rPr>
          <w:rFonts w:ascii="Arial" w:eastAsia="Times New Roman" w:hAnsi="Arial" w:cs="Arial"/>
          <w:kern w:val="0"/>
          <w:sz w:val="22"/>
          <w:szCs w:val="22"/>
          <w14:ligatures w14:val="none"/>
        </w:rPr>
        <w:t>dbGaP</w:t>
      </w:r>
      <w:proofErr w:type="spellEnd"/>
      <w:r w:rsidRPr="00D75FE2">
        <w:rPr>
          <w:rFonts w:ascii="Arial" w:eastAsia="Times New Roman" w:hAnsi="Arial" w:cs="Arial"/>
          <w:kern w:val="0"/>
          <w:sz w:val="22"/>
          <w:szCs w:val="22"/>
          <w14:ligatures w14:val="none"/>
        </w:rPr>
        <w:t xml:space="preserve">, GEO, TCGA) using search parameters defined by OSUCCC – James researchers </w:t>
      </w:r>
    </w:p>
    <w:p w14:paraId="6C292F70" w14:textId="77777777" w:rsidR="009C74F9" w:rsidRPr="00D75FE2" w:rsidRDefault="009C74F9" w:rsidP="009C74F9">
      <w:pPr>
        <w:numPr>
          <w:ilvl w:val="1"/>
          <w:numId w:val="39"/>
        </w:num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 xml:space="preserve">Pathway analysis of results from sequencing and microarray data </w:t>
      </w:r>
    </w:p>
    <w:p w14:paraId="030DD467" w14:textId="77777777" w:rsidR="009C74F9" w:rsidRPr="00D75FE2" w:rsidRDefault="009C74F9" w:rsidP="009C74F9">
      <w:pPr>
        <w:numPr>
          <w:ilvl w:val="1"/>
          <w:numId w:val="39"/>
        </w:num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 xml:space="preserve">Custom bio-molecular data management, application development, deployment and support </w:t>
      </w:r>
    </w:p>
    <w:p w14:paraId="449A1882" w14:textId="77777777" w:rsidR="009C74F9" w:rsidRPr="00D75FE2" w:rsidRDefault="009C74F9" w:rsidP="009C74F9">
      <w:pPr>
        <w:numPr>
          <w:ilvl w:val="1"/>
          <w:numId w:val="39"/>
        </w:num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 xml:space="preserve">CRISPR Screening: Experimental design, cancer-specific essential genes, synthetic lethal partners and drug resistance mechanisms </w:t>
      </w:r>
    </w:p>
    <w:p w14:paraId="66AB09B2" w14:textId="77777777" w:rsidR="009C74F9" w:rsidRPr="00D75FE2" w:rsidRDefault="009C74F9" w:rsidP="009C74F9">
      <w:pPr>
        <w:numPr>
          <w:ilvl w:val="1"/>
          <w:numId w:val="39"/>
        </w:num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 xml:space="preserve">Precision cancer medicine services: Integrating gene expression profiles, mutations and phenotype features to predict targets, drugs and biomarkers in precision cancer medicine; identification of potential druggable targets; and assessment of drug efficacy and associated biomarkers </w:t>
      </w:r>
    </w:p>
    <w:p w14:paraId="4A9FD3AC" w14:textId="77777777" w:rsidR="009C74F9" w:rsidRPr="00D75FE2" w:rsidRDefault="009C74F9" w:rsidP="009C74F9">
      <w:p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 xml:space="preserve">BMI-BISR works closely with the Biomedical Genomics Core Sequencing Unit at Nationwide Children’s Hospital (UNC)—a major provider of next-generation sequencing services for Ohio State—to streamline NGS data flow. The resource continuously updates, improves and expands its analytical offerings in collaboration with BMI and OSUWMC faculty to provide a state-of-the-art bioinformatics environment for Ohio State investigators. </w:t>
      </w:r>
    </w:p>
    <w:p w14:paraId="13E96A92" w14:textId="77777777" w:rsidR="009C74F9" w:rsidRDefault="009C74F9" w:rsidP="009C74F9">
      <w:pPr>
        <w:outlineLvl w:val="2"/>
        <w:rPr>
          <w:rFonts w:ascii="Arial" w:eastAsia="Times New Roman" w:hAnsi="Arial" w:cs="Arial"/>
          <w:b/>
          <w:bCs/>
          <w:kern w:val="0"/>
          <w:sz w:val="22"/>
          <w:szCs w:val="22"/>
          <w14:ligatures w14:val="none"/>
        </w:rPr>
      </w:pPr>
    </w:p>
    <w:p w14:paraId="70883770" w14:textId="12B3B9BE" w:rsidR="009C74F9" w:rsidRPr="009C74F9" w:rsidRDefault="009C74F9" w:rsidP="009C74F9">
      <w:pPr>
        <w:outlineLvl w:val="2"/>
        <w:rPr>
          <w:rFonts w:ascii="Arial" w:eastAsia="Times New Roman" w:hAnsi="Arial" w:cs="Arial"/>
          <w:b/>
          <w:bCs/>
          <w:kern w:val="0"/>
          <w:sz w:val="22"/>
          <w:szCs w:val="22"/>
          <w:u w:val="single"/>
          <w14:ligatures w14:val="none"/>
        </w:rPr>
      </w:pPr>
      <w:r w:rsidRPr="009C74F9">
        <w:rPr>
          <w:rFonts w:ascii="Arial" w:eastAsia="Times New Roman" w:hAnsi="Arial" w:cs="Arial"/>
          <w:b/>
          <w:bCs/>
          <w:kern w:val="0"/>
          <w:sz w:val="22"/>
          <w:szCs w:val="22"/>
          <w:u w:val="single"/>
          <w14:ligatures w14:val="none"/>
        </w:rPr>
        <w:t>Information Technology, Biostatistics and Informatics Leadership</w:t>
      </w:r>
    </w:p>
    <w:p w14:paraId="34C3A83E" w14:textId="77777777" w:rsidR="009C74F9" w:rsidRPr="00D75FE2" w:rsidRDefault="009C74F9" w:rsidP="009C74F9">
      <w:p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 xml:space="preserve">The Ohio State Information Technology, Biostatistics and Informatics Resources, under the direction of CRIO Dr. Tim Huerta, develops and serves the informatics and information infrastructure to support research. </w:t>
      </w:r>
    </w:p>
    <w:p w14:paraId="511A2338" w14:textId="77777777" w:rsidR="009C74F9" w:rsidRPr="00D75FE2" w:rsidRDefault="009C74F9" w:rsidP="009C74F9">
      <w:pPr>
        <w:numPr>
          <w:ilvl w:val="0"/>
          <w:numId w:val="40"/>
        </w:numPr>
        <w:rPr>
          <w:rFonts w:ascii="Arial" w:eastAsia="Times New Roman" w:hAnsi="Arial" w:cs="Arial"/>
          <w:kern w:val="0"/>
          <w:sz w:val="22"/>
          <w:szCs w:val="22"/>
          <w14:ligatures w14:val="none"/>
        </w:rPr>
      </w:pPr>
      <w:r w:rsidRPr="00D75FE2">
        <w:rPr>
          <w:rFonts w:ascii="Arial" w:eastAsia="Times New Roman" w:hAnsi="Arial" w:cs="Arial"/>
          <w:b/>
          <w:bCs/>
          <w:kern w:val="0"/>
          <w:sz w:val="22"/>
          <w:szCs w:val="22"/>
          <w14:ligatures w14:val="none"/>
        </w:rPr>
        <w:lastRenderedPageBreak/>
        <w:t>Data Access, Usage, Governance, and Human Research Protections:</w:t>
      </w:r>
      <w:r w:rsidRPr="00D75FE2">
        <w:rPr>
          <w:rFonts w:ascii="Arial" w:eastAsia="Times New Roman" w:hAnsi="Arial" w:cs="Arial"/>
          <w:kern w:val="0"/>
          <w:sz w:val="22"/>
          <w:szCs w:val="22"/>
          <w14:ligatures w14:val="none"/>
        </w:rPr>
        <w:t xml:space="preserve"> BMI provides leadership and counseling for researchers for projects and proposals requiring expertise in data access (i.e., limited datasets from the IW), data use (i.e., data sharing agreements and intellectual property agreements) and data governance (i.e., HIPAA compliance, security and safety, and IRB). We provide clarification and guidance across the continuum of data needs as well as needs arising from ethical and regulatory oversight. Biomedical Informatics staff members help researchers obtain their data in the most expedient manner available, while adhering to all applicable policy and procedures. Staff members guide researchers in the overall management of data including availability, usability, integrity and security of data. Such management enhances data stewardship and ensures ongoing compliance with internal data policies and external government regulations. </w:t>
      </w:r>
    </w:p>
    <w:p w14:paraId="72C60D3B" w14:textId="77777777" w:rsidR="009C74F9" w:rsidRDefault="009C74F9" w:rsidP="009C74F9">
      <w:pPr>
        <w:numPr>
          <w:ilvl w:val="0"/>
          <w:numId w:val="40"/>
        </w:numPr>
        <w:rPr>
          <w:rFonts w:ascii="Arial" w:eastAsia="Times New Roman" w:hAnsi="Arial" w:cs="Arial"/>
          <w:kern w:val="0"/>
          <w:sz w:val="22"/>
          <w:szCs w:val="22"/>
          <w14:ligatures w14:val="none"/>
        </w:rPr>
      </w:pPr>
      <w:r w:rsidRPr="00D75FE2">
        <w:rPr>
          <w:rFonts w:ascii="Arial" w:eastAsia="Times New Roman" w:hAnsi="Arial" w:cs="Arial"/>
          <w:b/>
          <w:bCs/>
          <w:kern w:val="0"/>
          <w:sz w:val="22"/>
          <w:szCs w:val="22"/>
          <w14:ligatures w14:val="none"/>
        </w:rPr>
        <w:t>Project Management and Multi-Site Studies:</w:t>
      </w:r>
      <w:r w:rsidRPr="00D75FE2">
        <w:rPr>
          <w:rFonts w:ascii="Arial" w:eastAsia="Times New Roman" w:hAnsi="Arial" w:cs="Arial"/>
          <w:kern w:val="0"/>
          <w:sz w:val="22"/>
          <w:szCs w:val="22"/>
          <w14:ligatures w14:val="none"/>
        </w:rPr>
        <w:t xml:space="preserve"> Project management staff members within BMI assist in the creation of sustainable and scalable processes for conducting research studies. Project tracking implemented in REDCap is an integral part of the project build. The involvement of staff from study initiation in the design of the tracking system enables a high level of data quality throughout the life of the study. Staff members work with investigators to design reports to track study progress and accrual or to identify potential problems. Program managers coordinate with clinical staff to troubleshoot problems and ensure studies progress smoothly. In the case of multi-site studies, managers coordinate across the sites to ensure the protocol is followed and to minimize deviations. The Ohio State Clinical and Translational Science Institute also provides support for multi-center trials. The CTSI is a member of the NIH-funded Trial Innovation Network (TIN) which leverages the expertise of other Clinical and Translational Science Awards in conducting feasibility assessments, consultations on clinical trial design and assistance in serving as a data coordinating center. </w:t>
      </w:r>
    </w:p>
    <w:p w14:paraId="22D5A725" w14:textId="77777777" w:rsidR="009C74F9" w:rsidRPr="00D75FE2" w:rsidRDefault="009C74F9" w:rsidP="009C74F9">
      <w:pPr>
        <w:ind w:left="720"/>
        <w:rPr>
          <w:rFonts w:ascii="Arial" w:eastAsia="Times New Roman" w:hAnsi="Arial" w:cs="Arial"/>
          <w:kern w:val="0"/>
          <w:sz w:val="22"/>
          <w:szCs w:val="22"/>
          <w14:ligatures w14:val="none"/>
        </w:rPr>
      </w:pPr>
    </w:p>
    <w:p w14:paraId="32F6943C" w14:textId="77777777" w:rsidR="009C74F9" w:rsidRPr="009C74F9" w:rsidRDefault="009C74F9" w:rsidP="009C74F9">
      <w:pPr>
        <w:outlineLvl w:val="2"/>
        <w:rPr>
          <w:rFonts w:ascii="Arial" w:eastAsia="Times New Roman" w:hAnsi="Arial" w:cs="Arial"/>
          <w:b/>
          <w:bCs/>
          <w:kern w:val="0"/>
          <w:sz w:val="22"/>
          <w:szCs w:val="22"/>
          <w:u w:val="single"/>
          <w14:ligatures w14:val="none"/>
        </w:rPr>
      </w:pPr>
      <w:r w:rsidRPr="009C74F9">
        <w:rPr>
          <w:rFonts w:ascii="Arial" w:eastAsia="Times New Roman" w:hAnsi="Arial" w:cs="Arial"/>
          <w:b/>
          <w:bCs/>
          <w:kern w:val="0"/>
          <w:sz w:val="22"/>
          <w:szCs w:val="22"/>
          <w:u w:val="single"/>
          <w14:ligatures w14:val="none"/>
        </w:rPr>
        <w:t>Center for Biostatistics</w:t>
      </w:r>
    </w:p>
    <w:p w14:paraId="38A188C1" w14:textId="77777777" w:rsidR="009C74F9" w:rsidRDefault="009C74F9" w:rsidP="009C74F9">
      <w:p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 xml:space="preserve">The Center for Biostatistics at The Ohio State University was instituted in 2001 with the mission to provide a single, readily identifiable and responsive source of expertise with whom biomedical investigators both within and outside Ohio State can collaborate in all aspects of study design, data management and statistical analysis of clinical, epidemiological, public health and laboratory research data. The Center provides statistical support to biomedical investigators at The Ohio State University Wexner Medical Center, The Ohio State University Comprehensive Cancer Center – Arthur G. James Cancer Hospital and Richard J. Solove Research Institute (OSUCCC – James), the Clinical and Translational Science Institute, the health sciences colleges and other investigators throughout and outside the university. It is comprised of a group of biostatisticians and programmers, as well as affiliated bioinformaticians and support staff from the Department of Biomedical Informatics. </w:t>
      </w:r>
    </w:p>
    <w:p w14:paraId="2FFDE979" w14:textId="77777777" w:rsidR="009C74F9" w:rsidRPr="00D75FE2" w:rsidRDefault="009C74F9" w:rsidP="009C74F9">
      <w:pPr>
        <w:rPr>
          <w:rFonts w:ascii="Arial" w:eastAsia="Times New Roman" w:hAnsi="Arial" w:cs="Arial"/>
          <w:kern w:val="0"/>
          <w:sz w:val="22"/>
          <w:szCs w:val="22"/>
          <w14:ligatures w14:val="none"/>
        </w:rPr>
      </w:pPr>
    </w:p>
    <w:p w14:paraId="28082E7B" w14:textId="77777777" w:rsidR="009C74F9" w:rsidRDefault="009C74F9" w:rsidP="009C74F9">
      <w:p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 xml:space="preserve">The Center is currently led by Dr. Soledad Fernandez, director and Dr. Guy Brock, associate director. Both have over 15 years of continual NIH funding and experience collaborating with investigators in the biomedical sciences and have taken leadership roles in biostatistics oversight of multiple large program project and center awards. The Center also runs the Biostatistics Resources at Nationwide Children’s Hospital (BRANCH), with Dr. Guy Brock as the director. </w:t>
      </w:r>
    </w:p>
    <w:p w14:paraId="07159A8C" w14:textId="77777777" w:rsidR="009C74F9" w:rsidRPr="00D75FE2" w:rsidRDefault="009C74F9" w:rsidP="009C74F9">
      <w:pPr>
        <w:rPr>
          <w:rFonts w:ascii="Arial" w:eastAsia="Times New Roman" w:hAnsi="Arial" w:cs="Arial"/>
          <w:kern w:val="0"/>
          <w:sz w:val="22"/>
          <w:szCs w:val="22"/>
          <w14:ligatures w14:val="none"/>
        </w:rPr>
      </w:pPr>
    </w:p>
    <w:p w14:paraId="5CEBDA68" w14:textId="77777777" w:rsidR="009C74F9" w:rsidRPr="009C74F9" w:rsidRDefault="009C74F9" w:rsidP="009C74F9">
      <w:pPr>
        <w:outlineLvl w:val="2"/>
        <w:rPr>
          <w:rFonts w:ascii="Arial" w:eastAsia="Times New Roman" w:hAnsi="Arial" w:cs="Arial"/>
          <w:b/>
          <w:bCs/>
          <w:kern w:val="0"/>
          <w:sz w:val="22"/>
          <w:szCs w:val="22"/>
          <w:u w:val="single"/>
          <w14:ligatures w14:val="none"/>
        </w:rPr>
      </w:pPr>
      <w:r w:rsidRPr="009C74F9">
        <w:rPr>
          <w:rFonts w:ascii="Arial" w:eastAsia="Times New Roman" w:hAnsi="Arial" w:cs="Arial"/>
          <w:b/>
          <w:bCs/>
          <w:kern w:val="0"/>
          <w:sz w:val="22"/>
          <w:szCs w:val="22"/>
          <w:u w:val="single"/>
          <w14:ligatures w14:val="none"/>
        </w:rPr>
        <w:t>Secondary Data Core</w:t>
      </w:r>
    </w:p>
    <w:p w14:paraId="5F26AAAF" w14:textId="77777777" w:rsidR="009C74F9" w:rsidRPr="00D75FE2" w:rsidRDefault="009C74F9" w:rsidP="009C74F9">
      <w:p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 xml:space="preserve">The Secondary Data Core (SDC) is a shared resource for researchers at The Ohio State University and affiliated with the Center for Biostatistics (CFB) and Clinical and Translational Science Institute (CTSI). The SDC consists of more than a dozen members (i.e., service providers, generally biostatisticians and analysts) and more than 20 partners (e.g., principal investigators and research staff). Meetings to review study design, data sources and discuss tips/tricks in working with secondary data are held monthly and are open to all Ohio State faculty, staff and students who are interested. In addition, the SDC in partnership with the CTSI has hosted an annual Secondary Data Symposium every May since 2020; the morning session focuses on grant writing and the afternoon session focuses on demonstrating the breadth of data sources and research interests across Ohio State. Additionally, PIs can contact the SDC through a shared email to request consultations and/or collaborations. The SDC collaborates extensively with the Data Access, Analysis and Coordination division within CFB to host and manage large secondary databases. </w:t>
      </w:r>
    </w:p>
    <w:p w14:paraId="696EF2C8" w14:textId="77777777" w:rsidR="009C74F9" w:rsidRDefault="009C74F9" w:rsidP="009C74F9">
      <w:p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 xml:space="preserve">The SDC provides expertise in obtaining, analyzing and disseminating research across a range of databases and patient populations. More specifically, SDC members are Co-Investigators on more than six NIH-funded </w:t>
      </w:r>
      <w:r w:rsidRPr="00D75FE2">
        <w:rPr>
          <w:rFonts w:ascii="Arial" w:eastAsia="Times New Roman" w:hAnsi="Arial" w:cs="Arial"/>
          <w:kern w:val="0"/>
          <w:sz w:val="22"/>
          <w:szCs w:val="22"/>
          <w14:ligatures w14:val="none"/>
        </w:rPr>
        <w:lastRenderedPageBreak/>
        <w:t xml:space="preserve">R01s and collectively have more than 100 coauthored manuscripts studying administrative claims data from Centers for Medicare and Medicaid Services. </w:t>
      </w:r>
    </w:p>
    <w:p w14:paraId="5E369BE5" w14:textId="77777777" w:rsidR="009C74F9" w:rsidRPr="00D75FE2" w:rsidRDefault="009C74F9" w:rsidP="009C74F9">
      <w:pPr>
        <w:rPr>
          <w:rFonts w:ascii="Arial" w:eastAsia="Times New Roman" w:hAnsi="Arial" w:cs="Arial"/>
          <w:kern w:val="0"/>
          <w:sz w:val="22"/>
          <w:szCs w:val="22"/>
          <w14:ligatures w14:val="none"/>
        </w:rPr>
      </w:pPr>
    </w:p>
    <w:p w14:paraId="6064E27B" w14:textId="77777777" w:rsidR="009C74F9" w:rsidRPr="009C74F9" w:rsidRDefault="009C74F9" w:rsidP="009C74F9">
      <w:pPr>
        <w:outlineLvl w:val="2"/>
        <w:rPr>
          <w:rFonts w:ascii="Arial" w:eastAsia="Times New Roman" w:hAnsi="Arial" w:cs="Arial"/>
          <w:b/>
          <w:bCs/>
          <w:kern w:val="0"/>
          <w:sz w:val="22"/>
          <w:szCs w:val="22"/>
          <w:u w:val="single"/>
          <w14:ligatures w14:val="none"/>
        </w:rPr>
      </w:pPr>
      <w:r w:rsidRPr="009C74F9">
        <w:rPr>
          <w:rFonts w:ascii="Arial" w:eastAsia="Times New Roman" w:hAnsi="Arial" w:cs="Arial"/>
          <w:b/>
          <w:bCs/>
          <w:kern w:val="0"/>
          <w:sz w:val="22"/>
          <w:szCs w:val="22"/>
          <w:u w:val="single"/>
          <w14:ligatures w14:val="none"/>
        </w:rPr>
        <w:t>Information Technology and High-Performance Computing (HPC) Resources</w:t>
      </w:r>
    </w:p>
    <w:p w14:paraId="1951843E" w14:textId="77777777" w:rsidR="009C74F9" w:rsidRPr="00D75FE2" w:rsidRDefault="009C74F9" w:rsidP="009C74F9">
      <w:pPr>
        <w:numPr>
          <w:ilvl w:val="0"/>
          <w:numId w:val="41"/>
        </w:numPr>
        <w:rPr>
          <w:rFonts w:ascii="Arial" w:eastAsia="Times New Roman" w:hAnsi="Arial" w:cs="Arial"/>
          <w:kern w:val="0"/>
          <w:sz w:val="22"/>
          <w:szCs w:val="22"/>
          <w14:ligatures w14:val="none"/>
        </w:rPr>
      </w:pPr>
      <w:r w:rsidRPr="00D75FE2">
        <w:rPr>
          <w:rFonts w:ascii="Arial" w:eastAsia="Times New Roman" w:hAnsi="Arial" w:cs="Arial"/>
          <w:b/>
          <w:bCs/>
          <w:kern w:val="0"/>
          <w:sz w:val="22"/>
          <w:szCs w:val="22"/>
          <w14:ligatures w14:val="none"/>
        </w:rPr>
        <w:t>BMI Cluster:</w:t>
      </w:r>
      <w:r w:rsidRPr="00D75FE2">
        <w:rPr>
          <w:rFonts w:ascii="Arial" w:eastAsia="Times New Roman" w:hAnsi="Arial" w:cs="Arial"/>
          <w:kern w:val="0"/>
          <w:sz w:val="22"/>
          <w:szCs w:val="22"/>
          <w14:ligatures w14:val="none"/>
        </w:rPr>
        <w:t xml:space="preserve"> BMI has a 72-node dual quad-core cluster (total 576 CPU). This cluster has 1.5 TB of aggregate physical memory; 144TB of disk storage distributed over 72 compute nodes, 1 storage node and a head node. The storage node has 16TB of raw storage and is equipped with a hardware RAID controller for high throughput and reliability. All nodes are connected to a Gigabit switch where the head node and storage nodes have a 10 Gbps connection to that switch. Thirty-six of the compute nodes have 32GB memory for applications with a large memory footprint, and the remaining 36 of them have 16GB memory. </w:t>
      </w:r>
    </w:p>
    <w:p w14:paraId="674B0627" w14:textId="77777777" w:rsidR="009C74F9" w:rsidRPr="00D75FE2" w:rsidRDefault="009C74F9" w:rsidP="009C74F9">
      <w:pPr>
        <w:numPr>
          <w:ilvl w:val="0"/>
          <w:numId w:val="41"/>
        </w:numPr>
        <w:rPr>
          <w:rFonts w:ascii="Arial" w:eastAsia="Times New Roman" w:hAnsi="Arial" w:cs="Arial"/>
          <w:kern w:val="0"/>
          <w:sz w:val="22"/>
          <w:szCs w:val="22"/>
          <w14:ligatures w14:val="none"/>
        </w:rPr>
      </w:pPr>
      <w:r w:rsidRPr="00D75FE2">
        <w:rPr>
          <w:rFonts w:ascii="Arial" w:eastAsia="Times New Roman" w:hAnsi="Arial" w:cs="Arial"/>
          <w:b/>
          <w:bCs/>
          <w:kern w:val="0"/>
          <w:sz w:val="22"/>
          <w:szCs w:val="22"/>
          <w14:ligatures w14:val="none"/>
        </w:rPr>
        <w:t>OSU-BMI HPC Lab:</w:t>
      </w:r>
      <w:r w:rsidRPr="00D75FE2">
        <w:rPr>
          <w:rFonts w:ascii="Arial" w:eastAsia="Times New Roman" w:hAnsi="Arial" w:cs="Arial"/>
          <w:kern w:val="0"/>
          <w:sz w:val="22"/>
          <w:szCs w:val="22"/>
          <w14:ligatures w14:val="none"/>
        </w:rPr>
        <w:t xml:space="preserve"> The HPC Lab currently manages a 64-node cluster that is part of a collaborated NSF Research Infrastructure grant. Specifically, BMI, Computer Science and Engineering (CSE) and the OSC have been awarded an NSF Research Infrastructure grant to fund the development of a computational and storage testbed. The testbed consists of a compute cluster, installed at CSE, and a memory/GPU cluster named Owens, installed at BMI and managed by HPC Lab. The Owens GPU cluster has 64 compute nodes, where 32 nodes have Nvidia Tesla C2050 GPUs. Each compute node is equipped with dual quad-core 2.26GHz Intel Xeon E5520 CPUs, 48 GB memory and a 500 GB hard disk. The theoretical peak performance and aggregate memory are 21.33 </w:t>
      </w:r>
      <w:proofErr w:type="spellStart"/>
      <w:r w:rsidRPr="00D75FE2">
        <w:rPr>
          <w:rFonts w:ascii="Arial" w:eastAsia="Times New Roman" w:hAnsi="Arial" w:cs="Arial"/>
          <w:kern w:val="0"/>
          <w:sz w:val="22"/>
          <w:szCs w:val="22"/>
          <w14:ligatures w14:val="none"/>
        </w:rPr>
        <w:t>TFlops</w:t>
      </w:r>
      <w:proofErr w:type="spellEnd"/>
      <w:r w:rsidRPr="00D75FE2">
        <w:rPr>
          <w:rFonts w:ascii="Arial" w:eastAsia="Times New Roman" w:hAnsi="Arial" w:cs="Arial"/>
          <w:kern w:val="0"/>
          <w:sz w:val="22"/>
          <w:szCs w:val="22"/>
          <w14:ligatures w14:val="none"/>
        </w:rPr>
        <w:t xml:space="preserve"> and 3.2 TB, respectively. Two storage nodes provide roughly 60 TB of raw storage via a hardware RAID controller for high throughput and reliability. All nodes are also connected with Gigabit Ethernet and DDR </w:t>
      </w:r>
      <w:proofErr w:type="spellStart"/>
      <w:r w:rsidRPr="00D75FE2">
        <w:rPr>
          <w:rFonts w:ascii="Arial" w:eastAsia="Times New Roman" w:hAnsi="Arial" w:cs="Arial"/>
          <w:kern w:val="0"/>
          <w:sz w:val="22"/>
          <w:szCs w:val="22"/>
          <w14:ligatures w14:val="none"/>
        </w:rPr>
        <w:t>Infiniband</w:t>
      </w:r>
      <w:proofErr w:type="spellEnd"/>
      <w:r w:rsidRPr="00D75FE2">
        <w:rPr>
          <w:rFonts w:ascii="Arial" w:eastAsia="Times New Roman" w:hAnsi="Arial" w:cs="Arial"/>
          <w:kern w:val="0"/>
          <w:sz w:val="22"/>
          <w:szCs w:val="22"/>
          <w14:ligatures w14:val="none"/>
        </w:rPr>
        <w:t xml:space="preserve"> switches. </w:t>
      </w:r>
    </w:p>
    <w:p w14:paraId="4437F8E2" w14:textId="77777777" w:rsidR="009C74F9" w:rsidRPr="00D75FE2" w:rsidRDefault="009C74F9" w:rsidP="009C74F9">
      <w:pPr>
        <w:numPr>
          <w:ilvl w:val="0"/>
          <w:numId w:val="41"/>
        </w:numPr>
        <w:rPr>
          <w:rFonts w:ascii="Arial" w:eastAsia="Times New Roman" w:hAnsi="Arial" w:cs="Arial"/>
          <w:kern w:val="0"/>
          <w:sz w:val="22"/>
          <w:szCs w:val="22"/>
          <w14:ligatures w14:val="none"/>
        </w:rPr>
      </w:pPr>
      <w:r w:rsidRPr="00D75FE2">
        <w:rPr>
          <w:rFonts w:ascii="Arial" w:eastAsia="Times New Roman" w:hAnsi="Arial" w:cs="Arial"/>
          <w:b/>
          <w:bCs/>
          <w:kern w:val="0"/>
          <w:sz w:val="22"/>
          <w:szCs w:val="22"/>
          <w14:ligatures w14:val="none"/>
        </w:rPr>
        <w:t>Other OSU-BMI Computing Resources:</w:t>
      </w:r>
      <w:r w:rsidRPr="00D75FE2">
        <w:rPr>
          <w:rFonts w:ascii="Arial" w:eastAsia="Times New Roman" w:hAnsi="Arial" w:cs="Arial"/>
          <w:kern w:val="0"/>
          <w:sz w:val="22"/>
          <w:szCs w:val="22"/>
          <w14:ligatures w14:val="none"/>
        </w:rPr>
        <w:t xml:space="preserve"> In addition to the above cluster and server, BMI has a heterogeneous collection of compute and storage servers and clusters. Among them is a server capable of 6-TB storage, which is important for storing image and bioinformatics data. Another server provides a shared repository for software development projects. The Department of Biomedical Informatics has a formal collaborative relationship with the Ohio State Wexner Medical Center Information Technology department (OSU IT), situated within the Information Warehouse group. By virtue of this relationship, researchers and developers with BMI have access to the complete spectrum of Ohio State computing resources, including multiple Oracle database and application server instances used specifically to support research-related informatics projects. These servers are hosted in an enterprise-grade virtual server farm maintained by OSU IT. In addition, BMI has funded the acquisition and deployment of a secure data analysis computing platform for use with personally identifiable health information (PHI), which is resident within the Med Center IS data center, and is located behind the Ohio State firewall for data security/confidentiality purposes. This computing platform consists of both a Sun Microsystems V245 and V445 server with 4 and 16GB of RAM respectively and a Sun Microsystems </w:t>
      </w:r>
      <w:proofErr w:type="spellStart"/>
      <w:r w:rsidRPr="00D75FE2">
        <w:rPr>
          <w:rFonts w:ascii="Arial" w:eastAsia="Times New Roman" w:hAnsi="Arial" w:cs="Arial"/>
          <w:kern w:val="0"/>
          <w:sz w:val="22"/>
          <w:szCs w:val="22"/>
          <w14:ligatures w14:val="none"/>
        </w:rPr>
        <w:t>StoreEdge</w:t>
      </w:r>
      <w:proofErr w:type="spellEnd"/>
      <w:r w:rsidRPr="00D75FE2">
        <w:rPr>
          <w:rFonts w:ascii="Arial" w:eastAsia="Times New Roman" w:hAnsi="Arial" w:cs="Arial"/>
          <w:kern w:val="0"/>
          <w:sz w:val="22"/>
          <w:szCs w:val="22"/>
          <w14:ligatures w14:val="none"/>
        </w:rPr>
        <w:t xml:space="preserve"> 3120 disk array with 1.2TB of storage. In addition, the Biomedical Informatics program, working in coordination with Ohio State, has deployed and continues to develop an extensive research-oriented virtual server and storage area network facility, which is currently used to deploy development, testing and production instances of all </w:t>
      </w:r>
      <w:proofErr w:type="spellStart"/>
      <w:r w:rsidRPr="00D75FE2">
        <w:rPr>
          <w:rFonts w:ascii="Arial" w:eastAsia="Times New Roman" w:hAnsi="Arial" w:cs="Arial"/>
          <w:kern w:val="0"/>
          <w:sz w:val="22"/>
          <w:szCs w:val="22"/>
          <w14:ligatures w14:val="none"/>
        </w:rPr>
        <w:t>caGrid</w:t>
      </w:r>
      <w:proofErr w:type="spellEnd"/>
      <w:r w:rsidRPr="00D75FE2">
        <w:rPr>
          <w:rFonts w:ascii="Arial" w:eastAsia="Times New Roman" w:hAnsi="Arial" w:cs="Arial"/>
          <w:kern w:val="0"/>
          <w:sz w:val="22"/>
          <w:szCs w:val="22"/>
          <w14:ligatures w14:val="none"/>
        </w:rPr>
        <w:t xml:space="preserve"> and CTSA related informatics platforms. As part of this collaboration, Biomedical Informatics and Ohio State jointly fund a research systems administrator position, who oversees the management and access to such computational resources. </w:t>
      </w:r>
    </w:p>
    <w:p w14:paraId="3253D377" w14:textId="77777777" w:rsidR="009C74F9" w:rsidRPr="00D75FE2" w:rsidRDefault="009C74F9" w:rsidP="009C74F9">
      <w:pPr>
        <w:numPr>
          <w:ilvl w:val="0"/>
          <w:numId w:val="41"/>
        </w:numPr>
        <w:rPr>
          <w:rFonts w:ascii="Arial" w:eastAsia="Times New Roman" w:hAnsi="Arial" w:cs="Arial"/>
          <w:kern w:val="0"/>
          <w:sz w:val="22"/>
          <w:szCs w:val="22"/>
          <w14:ligatures w14:val="none"/>
        </w:rPr>
      </w:pPr>
      <w:r w:rsidRPr="00D75FE2">
        <w:rPr>
          <w:rFonts w:ascii="Arial" w:eastAsia="Times New Roman" w:hAnsi="Arial" w:cs="Arial"/>
          <w:b/>
          <w:bCs/>
          <w:kern w:val="0"/>
          <w:sz w:val="22"/>
          <w:szCs w:val="22"/>
          <w14:ligatures w14:val="none"/>
        </w:rPr>
        <w:t>Computing Environments (Validation Center Access):</w:t>
      </w:r>
      <w:r w:rsidRPr="00D75FE2">
        <w:rPr>
          <w:rFonts w:ascii="Arial" w:eastAsia="Times New Roman" w:hAnsi="Arial" w:cs="Arial"/>
          <w:kern w:val="0"/>
          <w:sz w:val="22"/>
          <w:szCs w:val="22"/>
          <w14:ligatures w14:val="none"/>
        </w:rPr>
        <w:t xml:space="preserve"> Members of the Validation Center have access to all computational and analytic facilities of BMI. All faculty and staff have high-end Windows, MacOS or LINUX desktop and/or laptop computers connected to the OSUWMC’s secure computer network and secure file servers. The OSUWMC Information Technology Department (OSUWMC IT) operates a comprehensive suite of information management platforms, including inpatient and outpatient electronic health records (i.e., Epic EHR, Epic Corporation, Verona, WI), comprehensive in-patient computer-based order entry, clinical decision support systems, multiple picture archiving and communication systems, laboratory information systems and pharmacy information systems. OSUWMC is the only hospital in Ohio to receive the HIMMS Stage 7 award for achieving the highest level of EHR adoption. In addition, OSUWMC IT provides enterprise-wide data warehousing, operations management, electronic communications and messaging, and business intelligence platforms. The close integration of OSUWMC IT supported systems is achieved using both See Beyond </w:t>
      </w:r>
      <w:proofErr w:type="spellStart"/>
      <w:r w:rsidRPr="00D75FE2">
        <w:rPr>
          <w:rFonts w:ascii="Arial" w:eastAsia="Times New Roman" w:hAnsi="Arial" w:cs="Arial"/>
          <w:kern w:val="0"/>
          <w:sz w:val="22"/>
          <w:szCs w:val="22"/>
          <w14:ligatures w14:val="none"/>
        </w:rPr>
        <w:t>eGate</w:t>
      </w:r>
      <w:proofErr w:type="spellEnd"/>
      <w:r w:rsidRPr="00D75FE2">
        <w:rPr>
          <w:rFonts w:ascii="Arial" w:eastAsia="Times New Roman" w:hAnsi="Arial" w:cs="Arial"/>
          <w:kern w:val="0"/>
          <w:sz w:val="22"/>
          <w:szCs w:val="22"/>
          <w14:ligatures w14:val="none"/>
        </w:rPr>
        <w:t xml:space="preserve"> Integration Engine and Sun Java Integration Suite technologies. The BMI Linux server has 196 GB RAM, two six core Intel Xeon X5690 processors (12M Cache, 3.46 GHz, 6.40 GT/s Intel® QPI) and a 6 </w:t>
      </w:r>
      <w:r w:rsidRPr="00D75FE2">
        <w:rPr>
          <w:rFonts w:ascii="Arial" w:eastAsia="Times New Roman" w:hAnsi="Arial" w:cs="Arial"/>
          <w:kern w:val="0"/>
          <w:sz w:val="22"/>
          <w:szCs w:val="22"/>
          <w14:ligatures w14:val="none"/>
        </w:rPr>
        <w:lastRenderedPageBreak/>
        <w:t>TB HDD. Software: Site-licensed software provides investigators with a palette of statistical software including SAS 9.4 (SAS Institute Inc., Cary, NC), STATA 13 (</w:t>
      </w:r>
      <w:proofErr w:type="spellStart"/>
      <w:r w:rsidRPr="00D75FE2">
        <w:rPr>
          <w:rFonts w:ascii="Arial" w:eastAsia="Times New Roman" w:hAnsi="Arial" w:cs="Arial"/>
          <w:kern w:val="0"/>
          <w:sz w:val="22"/>
          <w:szCs w:val="22"/>
          <w14:ligatures w14:val="none"/>
        </w:rPr>
        <w:t>StataCorp</w:t>
      </w:r>
      <w:proofErr w:type="spellEnd"/>
      <w:r w:rsidRPr="00D75FE2">
        <w:rPr>
          <w:rFonts w:ascii="Arial" w:eastAsia="Times New Roman" w:hAnsi="Arial" w:cs="Arial"/>
          <w:kern w:val="0"/>
          <w:sz w:val="22"/>
          <w:szCs w:val="22"/>
          <w14:ligatures w14:val="none"/>
        </w:rPr>
        <w:t>, College Station, TX), R (The R Foundation), PASS 16 (NCSS, Kaysville, UT), EAST (</w:t>
      </w:r>
      <w:proofErr w:type="spellStart"/>
      <w:r w:rsidRPr="00D75FE2">
        <w:rPr>
          <w:rFonts w:ascii="Arial" w:eastAsia="Times New Roman" w:hAnsi="Arial" w:cs="Arial"/>
          <w:kern w:val="0"/>
          <w:sz w:val="22"/>
          <w:szCs w:val="22"/>
          <w14:ligatures w14:val="none"/>
        </w:rPr>
        <w:t>Cytel</w:t>
      </w:r>
      <w:proofErr w:type="spellEnd"/>
      <w:r w:rsidRPr="00D75FE2">
        <w:rPr>
          <w:rFonts w:ascii="Arial" w:eastAsia="Times New Roman" w:hAnsi="Arial" w:cs="Arial"/>
          <w:kern w:val="0"/>
          <w:sz w:val="22"/>
          <w:szCs w:val="22"/>
          <w14:ligatures w14:val="none"/>
        </w:rPr>
        <w:t xml:space="preserve"> Software, Cambridge, MA), Bioconductor (Open resource), specialized scripts developed within the Department, specialized freeware for next generation sequencing (NGS) data analysis (e.g., bowtie2, </w:t>
      </w:r>
      <w:proofErr w:type="spellStart"/>
      <w:r w:rsidRPr="00D75FE2">
        <w:rPr>
          <w:rFonts w:ascii="Arial" w:eastAsia="Times New Roman" w:hAnsi="Arial" w:cs="Arial"/>
          <w:kern w:val="0"/>
          <w:sz w:val="22"/>
          <w:szCs w:val="22"/>
          <w14:ligatures w14:val="none"/>
        </w:rPr>
        <w:t>tophat</w:t>
      </w:r>
      <w:proofErr w:type="spellEnd"/>
      <w:r w:rsidRPr="00D75FE2">
        <w:rPr>
          <w:rFonts w:ascii="Arial" w:eastAsia="Times New Roman" w:hAnsi="Arial" w:cs="Arial"/>
          <w:kern w:val="0"/>
          <w:sz w:val="22"/>
          <w:szCs w:val="22"/>
          <w14:ligatures w14:val="none"/>
        </w:rPr>
        <w:t xml:space="preserve">, </w:t>
      </w:r>
      <w:proofErr w:type="spellStart"/>
      <w:r w:rsidRPr="00D75FE2">
        <w:rPr>
          <w:rFonts w:ascii="Arial" w:eastAsia="Times New Roman" w:hAnsi="Arial" w:cs="Arial"/>
          <w:kern w:val="0"/>
          <w:sz w:val="22"/>
          <w:szCs w:val="22"/>
          <w14:ligatures w14:val="none"/>
        </w:rPr>
        <w:t>bedtools</w:t>
      </w:r>
      <w:proofErr w:type="spellEnd"/>
      <w:r w:rsidRPr="00D75FE2">
        <w:rPr>
          <w:rFonts w:ascii="Arial" w:eastAsia="Times New Roman" w:hAnsi="Arial" w:cs="Arial"/>
          <w:kern w:val="0"/>
          <w:sz w:val="22"/>
          <w:szCs w:val="22"/>
          <w14:ligatures w14:val="none"/>
        </w:rPr>
        <w:t xml:space="preserve"> and GATK), and leading computational packages essential for single-cell transcriptomics (e.g., Seurat, </w:t>
      </w:r>
      <w:proofErr w:type="spellStart"/>
      <w:r w:rsidRPr="00D75FE2">
        <w:rPr>
          <w:rFonts w:ascii="Arial" w:eastAsia="Times New Roman" w:hAnsi="Arial" w:cs="Arial"/>
          <w:kern w:val="0"/>
          <w:sz w:val="22"/>
          <w:szCs w:val="22"/>
          <w14:ligatures w14:val="none"/>
        </w:rPr>
        <w:t>Scanpy</w:t>
      </w:r>
      <w:proofErr w:type="spellEnd"/>
      <w:r w:rsidRPr="00D75FE2">
        <w:rPr>
          <w:rFonts w:ascii="Arial" w:eastAsia="Times New Roman" w:hAnsi="Arial" w:cs="Arial"/>
          <w:kern w:val="0"/>
          <w:sz w:val="22"/>
          <w:szCs w:val="22"/>
          <w14:ligatures w14:val="none"/>
        </w:rPr>
        <w:t xml:space="preserve">) and the analysis of spatially resolved genomics data (e.g., </w:t>
      </w:r>
      <w:proofErr w:type="spellStart"/>
      <w:r w:rsidRPr="00D75FE2">
        <w:rPr>
          <w:rFonts w:ascii="Arial" w:eastAsia="Times New Roman" w:hAnsi="Arial" w:cs="Arial"/>
          <w:kern w:val="0"/>
          <w:sz w:val="22"/>
          <w:szCs w:val="22"/>
          <w14:ligatures w14:val="none"/>
        </w:rPr>
        <w:t>SpaGFT</w:t>
      </w:r>
      <w:proofErr w:type="spellEnd"/>
      <w:r w:rsidRPr="00D75FE2">
        <w:rPr>
          <w:rFonts w:ascii="Arial" w:eastAsia="Times New Roman" w:hAnsi="Arial" w:cs="Arial"/>
          <w:kern w:val="0"/>
          <w:sz w:val="22"/>
          <w:szCs w:val="22"/>
          <w14:ligatures w14:val="none"/>
        </w:rPr>
        <w:t xml:space="preserve">, RCTD). </w:t>
      </w:r>
    </w:p>
    <w:p w14:paraId="54E43C25" w14:textId="77777777" w:rsidR="009C74F9" w:rsidRPr="00D75FE2" w:rsidRDefault="009C74F9" w:rsidP="009C74F9">
      <w:pPr>
        <w:numPr>
          <w:ilvl w:val="0"/>
          <w:numId w:val="41"/>
        </w:numPr>
        <w:rPr>
          <w:rFonts w:ascii="Arial" w:eastAsia="Times New Roman" w:hAnsi="Arial" w:cs="Arial"/>
          <w:kern w:val="0"/>
          <w:sz w:val="22"/>
          <w:szCs w:val="22"/>
          <w14:ligatures w14:val="none"/>
        </w:rPr>
      </w:pPr>
      <w:r w:rsidRPr="00D75FE2">
        <w:rPr>
          <w:rFonts w:ascii="Arial" w:eastAsia="Times New Roman" w:hAnsi="Arial" w:cs="Arial"/>
          <w:b/>
          <w:bCs/>
          <w:kern w:val="0"/>
          <w:sz w:val="22"/>
          <w:szCs w:val="22"/>
          <w14:ligatures w14:val="none"/>
        </w:rPr>
        <w:t>The Ohio Supercomputer Center (OSC):</w:t>
      </w:r>
      <w:r w:rsidRPr="00D75FE2">
        <w:rPr>
          <w:rFonts w:ascii="Arial" w:eastAsia="Times New Roman" w:hAnsi="Arial" w:cs="Arial"/>
          <w:kern w:val="0"/>
          <w:sz w:val="22"/>
          <w:szCs w:val="22"/>
          <w14:ligatures w14:val="none"/>
        </w:rPr>
        <w:t xml:space="preserve"> OSC is a state-funded agency that provides high-performance computing resources to support research across Ohio. Ohio State researchers have access to OSC's advanced computing infrastructure, including the Ascend Cluster, a state-of-the-art system featuring more than 32,000 CPU cores, nearly 600 NVIDIA A100 GPUs and approximately 13 petaflops of peak computing performance, making it well-suited for large-scale genomic analyses, machine learning and other computationally intensive research. Through a memorandum of understanding between the Department of Biomedical Informatics (BMI) and OSC, BMI faculty, staff and affiliated researchers have reserved access to a dedicated computing "condo" that includes 180 TB of network-attached storage and 48 computing nodes, each with 28 cores, 128 GB of memory and 1.5 TB of local storage. Researchers also have access to a broad array of preinstalled bioinformatics, genomics and statistical software, including SAS, Stata, R, PASS, EAST, Bioconductor, GATK, Seurat, </w:t>
      </w:r>
      <w:proofErr w:type="spellStart"/>
      <w:r w:rsidRPr="00D75FE2">
        <w:rPr>
          <w:rFonts w:ascii="Arial" w:eastAsia="Times New Roman" w:hAnsi="Arial" w:cs="Arial"/>
          <w:kern w:val="0"/>
          <w:sz w:val="22"/>
          <w:szCs w:val="22"/>
          <w14:ligatures w14:val="none"/>
        </w:rPr>
        <w:t>Scanpy</w:t>
      </w:r>
      <w:proofErr w:type="spellEnd"/>
      <w:r w:rsidRPr="00D75FE2">
        <w:rPr>
          <w:rFonts w:ascii="Arial" w:eastAsia="Times New Roman" w:hAnsi="Arial" w:cs="Arial"/>
          <w:kern w:val="0"/>
          <w:sz w:val="22"/>
          <w:szCs w:val="22"/>
          <w14:ligatures w14:val="none"/>
        </w:rPr>
        <w:t xml:space="preserve"> and other specialized tools supporting next-generation sequencing, single-cell and spatial genomics analyses. In addition, BMI maintains secure computing infrastructure connected to the Ohio State Wexner Medical Center network, including high-performance desktop and server resources that support data-intensive research and access to enterprise research systems. </w:t>
      </w:r>
    </w:p>
    <w:p w14:paraId="6E6AA254" w14:textId="77777777" w:rsidR="009C74F9" w:rsidRDefault="009C74F9" w:rsidP="009C74F9">
      <w:pPr>
        <w:outlineLvl w:val="2"/>
        <w:rPr>
          <w:rFonts w:ascii="Arial" w:eastAsia="Times New Roman" w:hAnsi="Arial" w:cs="Arial"/>
          <w:b/>
          <w:bCs/>
          <w:kern w:val="0"/>
          <w:sz w:val="22"/>
          <w:szCs w:val="22"/>
          <w14:ligatures w14:val="none"/>
        </w:rPr>
      </w:pPr>
    </w:p>
    <w:p w14:paraId="52E42EF5" w14:textId="7007984D" w:rsidR="009C74F9" w:rsidRPr="009C74F9" w:rsidRDefault="009C74F9" w:rsidP="009C74F9">
      <w:pPr>
        <w:outlineLvl w:val="2"/>
        <w:rPr>
          <w:rFonts w:ascii="Arial" w:eastAsia="Times New Roman" w:hAnsi="Arial" w:cs="Arial"/>
          <w:b/>
          <w:bCs/>
          <w:kern w:val="0"/>
          <w:sz w:val="22"/>
          <w:szCs w:val="22"/>
          <w:u w:val="single"/>
          <w14:ligatures w14:val="none"/>
        </w:rPr>
      </w:pPr>
      <w:r w:rsidRPr="009C74F9">
        <w:rPr>
          <w:rFonts w:ascii="Arial" w:eastAsia="Times New Roman" w:hAnsi="Arial" w:cs="Arial"/>
          <w:b/>
          <w:bCs/>
          <w:kern w:val="0"/>
          <w:sz w:val="22"/>
          <w:szCs w:val="22"/>
          <w:u w:val="single"/>
          <w14:ligatures w14:val="none"/>
        </w:rPr>
        <w:t xml:space="preserve">Office of Technology and Digital Innovation (OTDI) </w:t>
      </w:r>
    </w:p>
    <w:p w14:paraId="16EA4CD7" w14:textId="77777777" w:rsidR="009C74F9" w:rsidRPr="00D75FE2" w:rsidRDefault="009C74F9" w:rsidP="009C74F9">
      <w:p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 xml:space="preserve">The Office of Technology and Digital Innovation (OTDI) at The Ohio State University, under the leadership of the Vice President and Chief Information Officer, provides a comprehensive suite of technology services that support the university’s mission to foster academic excellence, innovative research and enhanced community engagement. OTDI comprises several key areas, including Application Services and Business Solutions, Data and Integration Services, Digital Security and Trust and Research Technology and Infrastructure Services each playing an essential role in advancing Ohio State’s strategic objectives. </w:t>
      </w:r>
    </w:p>
    <w:p w14:paraId="06AF6FC1" w14:textId="77777777" w:rsidR="009C74F9" w:rsidRPr="009C74F9" w:rsidRDefault="009C74F9" w:rsidP="009C74F9">
      <w:pPr>
        <w:outlineLvl w:val="2"/>
        <w:rPr>
          <w:rFonts w:ascii="Arial" w:eastAsia="Times New Roman" w:hAnsi="Arial" w:cs="Arial"/>
          <w:b/>
          <w:bCs/>
          <w:kern w:val="0"/>
          <w:sz w:val="22"/>
          <w:szCs w:val="22"/>
          <w:u w:val="single"/>
          <w14:ligatures w14:val="none"/>
        </w:rPr>
      </w:pPr>
    </w:p>
    <w:p w14:paraId="359293CC" w14:textId="0BE260FD" w:rsidR="009C74F9" w:rsidRPr="009C74F9" w:rsidRDefault="009C74F9" w:rsidP="009C74F9">
      <w:pPr>
        <w:outlineLvl w:val="2"/>
        <w:rPr>
          <w:rFonts w:ascii="Arial" w:eastAsia="Times New Roman" w:hAnsi="Arial" w:cs="Arial"/>
          <w:b/>
          <w:bCs/>
          <w:kern w:val="0"/>
          <w:sz w:val="22"/>
          <w:szCs w:val="22"/>
          <w:u w:val="single"/>
          <w14:ligatures w14:val="none"/>
        </w:rPr>
      </w:pPr>
      <w:r w:rsidRPr="009C74F9">
        <w:rPr>
          <w:rFonts w:ascii="Arial" w:eastAsia="Times New Roman" w:hAnsi="Arial" w:cs="Arial"/>
          <w:b/>
          <w:bCs/>
          <w:kern w:val="0"/>
          <w:sz w:val="22"/>
          <w:szCs w:val="22"/>
          <w:u w:val="single"/>
          <w14:ligatures w14:val="none"/>
        </w:rPr>
        <w:t>Research Commons</w:t>
      </w:r>
    </w:p>
    <w:p w14:paraId="533CBBB8" w14:textId="77777777" w:rsidR="009C74F9" w:rsidRPr="00D75FE2" w:rsidRDefault="009C74F9" w:rsidP="009C74F9">
      <w:p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 xml:space="preserve">The Research Commons at The Ohio State University Libraries is a campus community where graduate students, faculty and postdoctoral researchers can connect with experts for support at any stage in the research lifecycle. It enhances the </w:t>
      </w:r>
      <w:proofErr w:type="gramStart"/>
      <w:r w:rsidRPr="00D75FE2">
        <w:rPr>
          <w:rFonts w:ascii="Arial" w:eastAsia="Times New Roman" w:hAnsi="Arial" w:cs="Arial"/>
          <w:kern w:val="0"/>
          <w:sz w:val="22"/>
          <w:szCs w:val="22"/>
          <w14:ligatures w14:val="none"/>
        </w:rPr>
        <w:t>Libraries’</w:t>
      </w:r>
      <w:proofErr w:type="gramEnd"/>
      <w:r w:rsidRPr="00D75FE2">
        <w:rPr>
          <w:rFonts w:ascii="Arial" w:eastAsia="Times New Roman" w:hAnsi="Arial" w:cs="Arial"/>
          <w:kern w:val="0"/>
          <w:sz w:val="22"/>
          <w:szCs w:val="22"/>
          <w14:ligatures w14:val="none"/>
        </w:rPr>
        <w:t xml:space="preserve"> mission by providing a hub for collaborative, interdisciplinary research that is both expertise- and technology-enabled. Focus areas of support for researchers include: </w:t>
      </w:r>
    </w:p>
    <w:p w14:paraId="5BFA6E0A" w14:textId="77777777" w:rsidR="009C74F9" w:rsidRPr="00D75FE2" w:rsidRDefault="009C74F9" w:rsidP="009C74F9">
      <w:pPr>
        <w:numPr>
          <w:ilvl w:val="0"/>
          <w:numId w:val="42"/>
        </w:numPr>
        <w:rPr>
          <w:rFonts w:ascii="Arial" w:eastAsia="Times New Roman" w:hAnsi="Arial" w:cs="Arial"/>
          <w:kern w:val="0"/>
          <w:sz w:val="22"/>
          <w:szCs w:val="22"/>
          <w14:ligatures w14:val="none"/>
        </w:rPr>
      </w:pPr>
      <w:r w:rsidRPr="00D75FE2">
        <w:rPr>
          <w:rFonts w:ascii="Arial" w:eastAsia="Times New Roman" w:hAnsi="Arial" w:cs="Arial"/>
          <w:b/>
          <w:bCs/>
          <w:kern w:val="0"/>
          <w:sz w:val="22"/>
          <w:szCs w:val="22"/>
          <w14:ligatures w14:val="none"/>
        </w:rPr>
        <w:t>Funder Data Management Assistance:</w:t>
      </w:r>
      <w:r w:rsidRPr="00D75FE2">
        <w:rPr>
          <w:rFonts w:ascii="Arial" w:eastAsia="Times New Roman" w:hAnsi="Arial" w:cs="Arial"/>
          <w:kern w:val="0"/>
          <w:sz w:val="22"/>
          <w:szCs w:val="22"/>
          <w14:ligatures w14:val="none"/>
        </w:rPr>
        <w:t xml:space="preserve"> Writing data management plans for grant proposals, best practices in data organization, data sharing and preservation guidance, evaluating data for re-use and understanding ethics, policies and federal requirements. </w:t>
      </w:r>
    </w:p>
    <w:p w14:paraId="315C5A90" w14:textId="77777777" w:rsidR="009C74F9" w:rsidRPr="00D75FE2" w:rsidRDefault="009C74F9" w:rsidP="009C74F9">
      <w:pPr>
        <w:numPr>
          <w:ilvl w:val="0"/>
          <w:numId w:val="42"/>
        </w:numPr>
        <w:rPr>
          <w:rFonts w:ascii="Arial" w:eastAsia="Times New Roman" w:hAnsi="Arial" w:cs="Arial"/>
          <w:kern w:val="0"/>
          <w:sz w:val="22"/>
          <w:szCs w:val="22"/>
          <w14:ligatures w14:val="none"/>
        </w:rPr>
      </w:pPr>
      <w:r w:rsidRPr="00D75FE2">
        <w:rPr>
          <w:rFonts w:ascii="Arial" w:eastAsia="Times New Roman" w:hAnsi="Arial" w:cs="Arial"/>
          <w:b/>
          <w:bCs/>
          <w:kern w:val="0"/>
          <w:sz w:val="22"/>
          <w:szCs w:val="22"/>
          <w14:ligatures w14:val="none"/>
        </w:rPr>
        <w:t>Research Data Support:</w:t>
      </w:r>
      <w:r w:rsidRPr="00D75FE2">
        <w:rPr>
          <w:rFonts w:ascii="Arial" w:eastAsia="Times New Roman" w:hAnsi="Arial" w:cs="Arial"/>
          <w:kern w:val="0"/>
          <w:sz w:val="22"/>
          <w:szCs w:val="22"/>
          <w14:ligatures w14:val="none"/>
        </w:rPr>
        <w:t xml:space="preserve"> Best practices in research data management and sharing, tools and workflows for scientific reproducibility and the discovery and (re)use of open and proprietary data sources. </w:t>
      </w:r>
    </w:p>
    <w:p w14:paraId="3F0B137D" w14:textId="77777777" w:rsidR="009C74F9" w:rsidRPr="00D75FE2" w:rsidRDefault="009C74F9" w:rsidP="009C74F9">
      <w:pPr>
        <w:numPr>
          <w:ilvl w:val="0"/>
          <w:numId w:val="42"/>
        </w:numPr>
        <w:rPr>
          <w:rFonts w:ascii="Arial" w:eastAsia="Times New Roman" w:hAnsi="Arial" w:cs="Arial"/>
          <w:kern w:val="0"/>
          <w:sz w:val="22"/>
          <w:szCs w:val="22"/>
          <w14:ligatures w14:val="none"/>
        </w:rPr>
      </w:pPr>
      <w:r w:rsidRPr="00D75FE2">
        <w:rPr>
          <w:rFonts w:ascii="Arial" w:eastAsia="Times New Roman" w:hAnsi="Arial" w:cs="Arial"/>
          <w:b/>
          <w:bCs/>
          <w:kern w:val="0"/>
          <w:sz w:val="22"/>
          <w:szCs w:val="22"/>
          <w14:ligatures w14:val="none"/>
        </w:rPr>
        <w:t>Research Impact Services:</w:t>
      </w:r>
      <w:r w:rsidRPr="00D75FE2">
        <w:rPr>
          <w:rFonts w:ascii="Arial" w:eastAsia="Times New Roman" w:hAnsi="Arial" w:cs="Arial"/>
          <w:kern w:val="0"/>
          <w:sz w:val="22"/>
          <w:szCs w:val="22"/>
          <w14:ligatures w14:val="none"/>
        </w:rPr>
        <w:t xml:space="preserve"> Use of data, tools and techniques to communicate the value of scholarly work, showing how work influences others in the field and beyond and ensuring work is visible and discoverable. </w:t>
      </w:r>
    </w:p>
    <w:p w14:paraId="26F77FB3" w14:textId="77777777" w:rsidR="009C74F9" w:rsidRPr="00D75FE2" w:rsidRDefault="009C74F9" w:rsidP="009C74F9">
      <w:pPr>
        <w:numPr>
          <w:ilvl w:val="0"/>
          <w:numId w:val="42"/>
        </w:numPr>
        <w:rPr>
          <w:rFonts w:ascii="Arial" w:eastAsia="Times New Roman" w:hAnsi="Arial" w:cs="Arial"/>
          <w:kern w:val="0"/>
          <w:sz w:val="22"/>
          <w:szCs w:val="22"/>
          <w14:ligatures w14:val="none"/>
        </w:rPr>
      </w:pPr>
      <w:r w:rsidRPr="00D75FE2">
        <w:rPr>
          <w:rFonts w:ascii="Arial" w:eastAsia="Times New Roman" w:hAnsi="Arial" w:cs="Arial"/>
          <w:b/>
          <w:bCs/>
          <w:kern w:val="0"/>
          <w:sz w:val="22"/>
          <w:szCs w:val="22"/>
          <w14:ligatures w14:val="none"/>
        </w:rPr>
        <w:t>Data Visualization Services:</w:t>
      </w:r>
      <w:r w:rsidRPr="00D75FE2">
        <w:rPr>
          <w:rFonts w:ascii="Arial" w:eastAsia="Times New Roman" w:hAnsi="Arial" w:cs="Arial"/>
          <w:kern w:val="0"/>
          <w:sz w:val="22"/>
          <w:szCs w:val="22"/>
          <w14:ligatures w14:val="none"/>
        </w:rPr>
        <w:t xml:space="preserve"> Helping determine the best format to present data based on research questions, data type, audience and medium. Creating static, dynamic and interactive visualizations and infographics, identifying appropriate software and training for tools including free/open-source options, Ohio State-licensed resources and specialized software such as Adobe Illustrator, Adobe Photoshop, Adobe InDesign, Tableau, Gephi and </w:t>
      </w:r>
      <w:proofErr w:type="spellStart"/>
      <w:r w:rsidRPr="00D75FE2">
        <w:rPr>
          <w:rFonts w:ascii="Arial" w:eastAsia="Times New Roman" w:hAnsi="Arial" w:cs="Arial"/>
          <w:kern w:val="0"/>
          <w:sz w:val="22"/>
          <w:szCs w:val="22"/>
          <w14:ligatures w14:val="none"/>
        </w:rPr>
        <w:t>Cytoscape</w:t>
      </w:r>
      <w:proofErr w:type="spellEnd"/>
      <w:r w:rsidRPr="00D75FE2">
        <w:rPr>
          <w:rFonts w:ascii="Arial" w:eastAsia="Times New Roman" w:hAnsi="Arial" w:cs="Arial"/>
          <w:kern w:val="0"/>
          <w:sz w:val="22"/>
          <w:szCs w:val="22"/>
          <w14:ligatures w14:val="none"/>
        </w:rPr>
        <w:t xml:space="preserve">. </w:t>
      </w:r>
    </w:p>
    <w:p w14:paraId="7FEAAEF8" w14:textId="77777777" w:rsidR="009C74F9" w:rsidRPr="00D75FE2" w:rsidRDefault="009C74F9" w:rsidP="009C74F9">
      <w:pPr>
        <w:numPr>
          <w:ilvl w:val="0"/>
          <w:numId w:val="42"/>
        </w:numPr>
        <w:rPr>
          <w:rFonts w:ascii="Arial" w:eastAsia="Times New Roman" w:hAnsi="Arial" w:cs="Arial"/>
          <w:kern w:val="0"/>
          <w:sz w:val="22"/>
          <w:szCs w:val="22"/>
          <w14:ligatures w14:val="none"/>
        </w:rPr>
      </w:pPr>
      <w:r w:rsidRPr="00D75FE2">
        <w:rPr>
          <w:rFonts w:ascii="Arial" w:eastAsia="Times New Roman" w:hAnsi="Arial" w:cs="Arial"/>
          <w:b/>
          <w:bCs/>
          <w:kern w:val="0"/>
          <w:sz w:val="22"/>
          <w:szCs w:val="22"/>
          <w14:ligatures w14:val="none"/>
        </w:rPr>
        <w:t>Geographic Information Systems (GIS):</w:t>
      </w:r>
      <w:r w:rsidRPr="00D75FE2">
        <w:rPr>
          <w:rFonts w:ascii="Arial" w:eastAsia="Times New Roman" w:hAnsi="Arial" w:cs="Arial"/>
          <w:kern w:val="0"/>
          <w:sz w:val="22"/>
          <w:szCs w:val="22"/>
          <w14:ligatures w14:val="none"/>
        </w:rPr>
        <w:t xml:space="preserve"> Assisting with finding and creating geospatial data sets, cleaning, organizing and managing geospatial data, designing and carrying out spatial analyses, mapping and geo-visualization, identifying appropriate GIS methods, tools and software and offering training for GIS tools and web-based mapping platforms. </w:t>
      </w:r>
    </w:p>
    <w:p w14:paraId="69476218" w14:textId="77777777" w:rsidR="009C74F9" w:rsidRPr="00D75FE2" w:rsidRDefault="009C74F9" w:rsidP="009C74F9">
      <w:pPr>
        <w:numPr>
          <w:ilvl w:val="0"/>
          <w:numId w:val="42"/>
        </w:numPr>
        <w:rPr>
          <w:rFonts w:ascii="Arial" w:eastAsia="Times New Roman" w:hAnsi="Arial" w:cs="Arial"/>
          <w:kern w:val="0"/>
          <w:sz w:val="22"/>
          <w:szCs w:val="22"/>
          <w14:ligatures w14:val="none"/>
        </w:rPr>
      </w:pPr>
      <w:r w:rsidRPr="00D75FE2">
        <w:rPr>
          <w:rFonts w:ascii="Arial" w:eastAsia="Times New Roman" w:hAnsi="Arial" w:cs="Arial"/>
          <w:b/>
          <w:bCs/>
          <w:kern w:val="0"/>
          <w:sz w:val="22"/>
          <w:szCs w:val="22"/>
          <w14:ligatures w14:val="none"/>
        </w:rPr>
        <w:t>Digital Humanities (DH):</w:t>
      </w:r>
      <w:r w:rsidRPr="00D75FE2">
        <w:rPr>
          <w:rFonts w:ascii="Arial" w:eastAsia="Times New Roman" w:hAnsi="Arial" w:cs="Arial"/>
          <w:kern w:val="0"/>
          <w:sz w:val="22"/>
          <w:szCs w:val="22"/>
          <w14:ligatures w14:val="none"/>
        </w:rPr>
        <w:t xml:space="preserve"> Supporting researchers with expertise in various methods and tools, refining project scope, accessing digital content, writing grant proposals, finding collaborators, project </w:t>
      </w:r>
      <w:r w:rsidRPr="00D75FE2">
        <w:rPr>
          <w:rFonts w:ascii="Arial" w:eastAsia="Times New Roman" w:hAnsi="Arial" w:cs="Arial"/>
          <w:kern w:val="0"/>
          <w:sz w:val="22"/>
          <w:szCs w:val="22"/>
          <w14:ligatures w14:val="none"/>
        </w:rPr>
        <w:lastRenderedPageBreak/>
        <w:t xml:space="preserve">management, content and data management, determining optimal methods/tools and exploring options for hosting, data sharing and curation. </w:t>
      </w:r>
    </w:p>
    <w:p w14:paraId="728B1240" w14:textId="77777777" w:rsidR="009C74F9" w:rsidRDefault="009C74F9" w:rsidP="009C74F9">
      <w:pPr>
        <w:numPr>
          <w:ilvl w:val="0"/>
          <w:numId w:val="42"/>
        </w:numPr>
        <w:rPr>
          <w:rFonts w:ascii="Arial" w:eastAsia="Times New Roman" w:hAnsi="Arial" w:cs="Arial"/>
          <w:kern w:val="0"/>
          <w:sz w:val="22"/>
          <w:szCs w:val="22"/>
          <w14:ligatures w14:val="none"/>
        </w:rPr>
      </w:pPr>
      <w:r w:rsidRPr="00D75FE2">
        <w:rPr>
          <w:rFonts w:ascii="Arial" w:eastAsia="Times New Roman" w:hAnsi="Arial" w:cs="Arial"/>
          <w:b/>
          <w:bCs/>
          <w:kern w:val="0"/>
          <w:sz w:val="22"/>
          <w:szCs w:val="22"/>
          <w14:ligatures w14:val="none"/>
        </w:rPr>
        <w:t>Qualitative Data and Community Engagement:</w:t>
      </w:r>
      <w:r w:rsidRPr="00D75FE2">
        <w:rPr>
          <w:rFonts w:ascii="Arial" w:eastAsia="Times New Roman" w:hAnsi="Arial" w:cs="Arial"/>
          <w:kern w:val="0"/>
          <w:sz w:val="22"/>
          <w:szCs w:val="22"/>
          <w14:ligatures w14:val="none"/>
        </w:rPr>
        <w:t xml:space="preserve"> Interdisciplinary consultations and instruction sessions on qualitative research design, qualitative coding, data storytelling, sustainability, community engagement and qualitative data visualization. </w:t>
      </w:r>
    </w:p>
    <w:p w14:paraId="3AFDCE81" w14:textId="77777777" w:rsidR="009C74F9" w:rsidRPr="00D75FE2" w:rsidRDefault="009C74F9" w:rsidP="009C74F9">
      <w:pPr>
        <w:ind w:left="720"/>
        <w:rPr>
          <w:rFonts w:ascii="Arial" w:eastAsia="Times New Roman" w:hAnsi="Arial" w:cs="Arial"/>
          <w:kern w:val="0"/>
          <w:sz w:val="22"/>
          <w:szCs w:val="22"/>
          <w14:ligatures w14:val="none"/>
        </w:rPr>
      </w:pPr>
    </w:p>
    <w:p w14:paraId="5C4811CA" w14:textId="77777777" w:rsidR="009C74F9" w:rsidRPr="009C74F9" w:rsidRDefault="009C74F9" w:rsidP="009C74F9">
      <w:pPr>
        <w:outlineLvl w:val="1"/>
        <w:rPr>
          <w:rFonts w:ascii="Arial" w:eastAsia="Times New Roman" w:hAnsi="Arial" w:cs="Arial"/>
          <w:b/>
          <w:bCs/>
          <w:kern w:val="0"/>
          <w14:ligatures w14:val="none"/>
        </w:rPr>
      </w:pPr>
      <w:r w:rsidRPr="009C74F9">
        <w:rPr>
          <w:rFonts w:ascii="Arial" w:eastAsia="Times New Roman" w:hAnsi="Arial" w:cs="Arial"/>
          <w:b/>
          <w:bCs/>
          <w:kern w:val="0"/>
          <w14:ligatures w14:val="none"/>
        </w:rPr>
        <w:t>Translational, Clinical and Specialized Research Centers and Cores</w:t>
      </w:r>
    </w:p>
    <w:p w14:paraId="2093645E" w14:textId="77777777" w:rsidR="009C74F9" w:rsidRDefault="009C74F9" w:rsidP="009C74F9">
      <w:pPr>
        <w:outlineLvl w:val="2"/>
        <w:rPr>
          <w:rFonts w:ascii="Arial" w:eastAsia="Times New Roman" w:hAnsi="Arial" w:cs="Arial"/>
          <w:b/>
          <w:bCs/>
          <w:kern w:val="0"/>
          <w:sz w:val="22"/>
          <w:szCs w:val="22"/>
          <w14:ligatures w14:val="none"/>
        </w:rPr>
      </w:pPr>
    </w:p>
    <w:p w14:paraId="53DF6BD7" w14:textId="35E801A2" w:rsidR="009C74F9" w:rsidRPr="009C74F9" w:rsidRDefault="009C74F9" w:rsidP="009C74F9">
      <w:pPr>
        <w:outlineLvl w:val="2"/>
        <w:rPr>
          <w:rFonts w:ascii="Arial" w:eastAsia="Times New Roman" w:hAnsi="Arial" w:cs="Arial"/>
          <w:b/>
          <w:bCs/>
          <w:kern w:val="0"/>
          <w:sz w:val="22"/>
          <w:szCs w:val="22"/>
          <w:u w:val="single"/>
          <w14:ligatures w14:val="none"/>
        </w:rPr>
      </w:pPr>
      <w:r w:rsidRPr="009C74F9">
        <w:rPr>
          <w:rFonts w:ascii="Arial" w:eastAsia="Times New Roman" w:hAnsi="Arial" w:cs="Arial"/>
          <w:b/>
          <w:bCs/>
          <w:kern w:val="0"/>
          <w:sz w:val="22"/>
          <w:szCs w:val="22"/>
          <w:u w:val="single"/>
          <w14:ligatures w14:val="none"/>
        </w:rPr>
        <w:t>CATALYST</w:t>
      </w:r>
    </w:p>
    <w:p w14:paraId="3D3901CE" w14:textId="77777777" w:rsidR="009C74F9" w:rsidRPr="00D75FE2" w:rsidRDefault="009C74F9" w:rsidP="009C74F9">
      <w:p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 xml:space="preserve">The Center for the Advancement of Team Science, Analytics, and Systems Thinking (CATALYST) within the College of Medicine focuses on advancing research and discovery in the delivery of health services across the continuum of care using a team science approach. Directed by Dr. Ann McAlearney, the associate dean for Health Services Research, CATALYST supports transformational research in areas such as health for all, implementation science, health information technology adoption and use, patient engagement, maternal and fetal health, patient safety and quality improvement, management practices in health care and patient-reported outcome measurement and improvement. </w:t>
      </w:r>
    </w:p>
    <w:p w14:paraId="70851ACD" w14:textId="77777777" w:rsidR="009C74F9" w:rsidRDefault="009C74F9" w:rsidP="009C74F9">
      <w:pPr>
        <w:rPr>
          <w:rFonts w:ascii="Arial" w:eastAsia="Times New Roman" w:hAnsi="Arial" w:cs="Arial"/>
          <w:kern w:val="0"/>
          <w:sz w:val="22"/>
          <w:szCs w:val="22"/>
          <w14:ligatures w14:val="none"/>
        </w:rPr>
      </w:pPr>
    </w:p>
    <w:p w14:paraId="4F07087D" w14:textId="517E2CAF" w:rsidR="009C74F9" w:rsidRPr="00D75FE2" w:rsidRDefault="009C74F9" w:rsidP="009C74F9">
      <w:p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 xml:space="preserve">The vision of CATALYST is to provide the infrastructure necessary to acquire extramural funding, improve the quality of scholarship, develop faculty in the areas of health services and implementation science research and increase the educational capacity of the institution while serving to extend the research, education and clinical enterprises of the COM. Through CATALYST, faculty investigators and research staff all have access to technical support including personal computers, the campus-wide network and software to support analysis. All members of CATALYST have individual offices as well as shared collaborative space to facilitate group efforts. </w:t>
      </w:r>
    </w:p>
    <w:p w14:paraId="7693C87A" w14:textId="77777777" w:rsidR="009C74F9" w:rsidRDefault="009C74F9" w:rsidP="009C74F9">
      <w:pPr>
        <w:outlineLvl w:val="2"/>
        <w:rPr>
          <w:rFonts w:ascii="Arial" w:eastAsia="Times New Roman" w:hAnsi="Arial" w:cs="Arial"/>
          <w:b/>
          <w:bCs/>
          <w:kern w:val="0"/>
          <w:sz w:val="22"/>
          <w:szCs w:val="22"/>
          <w14:ligatures w14:val="none"/>
        </w:rPr>
      </w:pPr>
    </w:p>
    <w:p w14:paraId="5BDD7648" w14:textId="3D621386" w:rsidR="009C74F9" w:rsidRPr="009C74F9" w:rsidRDefault="009C74F9" w:rsidP="009C74F9">
      <w:pPr>
        <w:outlineLvl w:val="2"/>
        <w:rPr>
          <w:rFonts w:ascii="Arial" w:eastAsia="Times New Roman" w:hAnsi="Arial" w:cs="Arial"/>
          <w:b/>
          <w:bCs/>
          <w:kern w:val="0"/>
          <w:sz w:val="22"/>
          <w:szCs w:val="22"/>
          <w:u w:val="single"/>
          <w14:ligatures w14:val="none"/>
        </w:rPr>
      </w:pPr>
      <w:r w:rsidRPr="009C74F9">
        <w:rPr>
          <w:rFonts w:ascii="Arial" w:eastAsia="Times New Roman" w:hAnsi="Arial" w:cs="Arial"/>
          <w:b/>
          <w:bCs/>
          <w:kern w:val="0"/>
          <w:sz w:val="22"/>
          <w:szCs w:val="22"/>
          <w:u w:val="single"/>
          <w14:ligatures w14:val="none"/>
        </w:rPr>
        <w:t>Clinical Research Center (CRC)</w:t>
      </w:r>
    </w:p>
    <w:p w14:paraId="5A0F7DF3" w14:textId="77777777" w:rsidR="009C74F9" w:rsidRPr="00D75FE2" w:rsidRDefault="009C74F9" w:rsidP="009C74F9">
      <w:p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 xml:space="preserve">The Clinical Research Center (CRC) provides research support for researchers across The Ohio State University, Wexner Medical Center and Nationwide Children’s Hospital. The CRC is funded by The Ohio State University College of Medicine as part of the Clinical and Translational Science Institute Research Management. Core services include an Analytical and Development Laboratory, Processing Laboratory, Research Nutrition Laboratory, Study Coordination and Nursing. The unit houses research subjects for both inpatient and outpatient studies. Research areas located on the unit include 12 hospital beds with an outpatient bay, DXA room, laboratories for processing and freezing samples and running assays and a research nutrition/production kitchen. Approximately 17 people are employed in the CRC including a Dietitian, Lab Technicians, Nurses, Clinical Research Coordinators and Clinical Research Assistants. The CRC annually supports approximately 100 investigators, providing services for over 150 studies with 2,700 participant research visits. </w:t>
      </w:r>
    </w:p>
    <w:p w14:paraId="07E96A54" w14:textId="77777777" w:rsidR="009C74F9" w:rsidRDefault="009C74F9" w:rsidP="009C74F9">
      <w:pPr>
        <w:outlineLvl w:val="2"/>
        <w:rPr>
          <w:rFonts w:ascii="Arial" w:eastAsia="Times New Roman" w:hAnsi="Arial" w:cs="Arial"/>
          <w:b/>
          <w:bCs/>
          <w:kern w:val="0"/>
          <w:sz w:val="22"/>
          <w:szCs w:val="22"/>
          <w14:ligatures w14:val="none"/>
        </w:rPr>
      </w:pPr>
    </w:p>
    <w:p w14:paraId="1F5FAC4B" w14:textId="1E7EF77E" w:rsidR="009C74F9" w:rsidRPr="009C74F9" w:rsidRDefault="009C74F9" w:rsidP="009C74F9">
      <w:pPr>
        <w:outlineLvl w:val="2"/>
        <w:rPr>
          <w:rFonts w:ascii="Arial" w:eastAsia="Times New Roman" w:hAnsi="Arial" w:cs="Arial"/>
          <w:b/>
          <w:bCs/>
          <w:kern w:val="0"/>
          <w:sz w:val="22"/>
          <w:szCs w:val="22"/>
          <w:u w:val="single"/>
          <w14:ligatures w14:val="none"/>
        </w:rPr>
      </w:pPr>
      <w:r w:rsidRPr="009C74F9">
        <w:rPr>
          <w:rFonts w:ascii="Arial" w:eastAsia="Times New Roman" w:hAnsi="Arial" w:cs="Arial"/>
          <w:b/>
          <w:bCs/>
          <w:kern w:val="0"/>
          <w:sz w:val="22"/>
          <w:szCs w:val="22"/>
          <w:u w:val="single"/>
          <w14:ligatures w14:val="none"/>
        </w:rPr>
        <w:t>OSUCCC-James Clinical Trials Office (CTO)</w:t>
      </w:r>
    </w:p>
    <w:p w14:paraId="34618AFE" w14:textId="77777777" w:rsidR="009C74F9" w:rsidRPr="00D75FE2" w:rsidRDefault="009C74F9" w:rsidP="009C74F9">
      <w:p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 xml:space="preserve">The Clinical Trials Office (CTO) provides a centralized infrastructure that supports the development, implementation and management of clinical trials at The Ohio State University Comprehensive Cancer Center (OSUCCC) - James. The CTO is made up of 17 separate disease teams and employs over 300 staff. CTO leadership includes a Medical Director, Senior Director, Director, five Assistant Directors and over 30 Research Managers overseeing their operations. Each year, the CTO activates approximately 150 new clinical trials and enrolls approximately 1000 patients to treatment trials. Many are original studies initiated by Ohio State investigators. The CTO’s centralized infrastructure includes full protocol management. Both the OSUCCC CTO and the OSUCCC CTO Medical Director are under the leadership of John Hays, MD, OSUCCC Associate Director of Clinical Research. </w:t>
      </w:r>
    </w:p>
    <w:p w14:paraId="53BBC113" w14:textId="77777777" w:rsidR="009C74F9" w:rsidRDefault="009C74F9" w:rsidP="009C74F9">
      <w:pPr>
        <w:rPr>
          <w:rFonts w:ascii="Arial" w:eastAsia="Times New Roman" w:hAnsi="Arial" w:cs="Arial"/>
          <w:kern w:val="0"/>
          <w:sz w:val="22"/>
          <w:szCs w:val="22"/>
          <w14:ligatures w14:val="none"/>
        </w:rPr>
      </w:pPr>
    </w:p>
    <w:p w14:paraId="1D1E12A2" w14:textId="20A0CBEB" w:rsidR="009C74F9" w:rsidRPr="00D75FE2" w:rsidRDefault="009C74F9" w:rsidP="009C74F9">
      <w:p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 xml:space="preserve">The OSUCCC holds both an NCI funded Phase I/II Experimental Therapeutics Clinical Trials Network Grant (UM1 CA186712) and a Leading Academic Participating Site (LAPS) award under the NCI National Clinical Trials Network (NCTN) (UG1 CA233331) for Phase II/III clinical trials. </w:t>
      </w:r>
    </w:p>
    <w:p w14:paraId="1FBD575C" w14:textId="77777777" w:rsidR="009C74F9" w:rsidRDefault="009C74F9" w:rsidP="009C74F9">
      <w:pPr>
        <w:rPr>
          <w:rFonts w:ascii="Arial" w:eastAsia="Times New Roman" w:hAnsi="Arial" w:cs="Arial"/>
          <w:kern w:val="0"/>
          <w:sz w:val="22"/>
          <w:szCs w:val="22"/>
          <w14:ligatures w14:val="none"/>
        </w:rPr>
      </w:pPr>
    </w:p>
    <w:p w14:paraId="25BD9AF5" w14:textId="64EAD369" w:rsidR="009C74F9" w:rsidRPr="00D75FE2" w:rsidRDefault="009C74F9" w:rsidP="009C74F9">
      <w:p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CTO Management Includes:</w:t>
      </w:r>
    </w:p>
    <w:p w14:paraId="75EE7521" w14:textId="77777777" w:rsidR="009C74F9" w:rsidRPr="00D75FE2" w:rsidRDefault="009C74F9" w:rsidP="009C74F9">
      <w:pPr>
        <w:numPr>
          <w:ilvl w:val="0"/>
          <w:numId w:val="43"/>
        </w:num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 xml:space="preserve">Protocol Implementation Activities </w:t>
      </w:r>
    </w:p>
    <w:p w14:paraId="581061CE" w14:textId="77777777" w:rsidR="009C74F9" w:rsidRPr="00D75FE2" w:rsidRDefault="009C74F9" w:rsidP="009C74F9">
      <w:pPr>
        <w:numPr>
          <w:ilvl w:val="0"/>
          <w:numId w:val="43"/>
        </w:num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 xml:space="preserve">Budget and Contract Development and Negotiation </w:t>
      </w:r>
    </w:p>
    <w:p w14:paraId="07850E8E" w14:textId="77777777" w:rsidR="009C74F9" w:rsidRPr="00D75FE2" w:rsidRDefault="009C74F9" w:rsidP="009C74F9">
      <w:pPr>
        <w:numPr>
          <w:ilvl w:val="0"/>
          <w:numId w:val="43"/>
        </w:num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 xml:space="preserve">Clinical Scientific Review </w:t>
      </w:r>
    </w:p>
    <w:p w14:paraId="168C1496" w14:textId="77777777" w:rsidR="009C74F9" w:rsidRPr="00D75FE2" w:rsidRDefault="009C74F9" w:rsidP="009C74F9">
      <w:pPr>
        <w:numPr>
          <w:ilvl w:val="0"/>
          <w:numId w:val="43"/>
        </w:num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lastRenderedPageBreak/>
        <w:t xml:space="preserve">Data Safety Monitoring </w:t>
      </w:r>
    </w:p>
    <w:p w14:paraId="16FE7E69" w14:textId="77777777" w:rsidR="009C74F9" w:rsidRPr="00D75FE2" w:rsidRDefault="009C74F9" w:rsidP="009C74F9">
      <w:pPr>
        <w:numPr>
          <w:ilvl w:val="0"/>
          <w:numId w:val="43"/>
        </w:num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 xml:space="preserve">Regulatory Support </w:t>
      </w:r>
    </w:p>
    <w:p w14:paraId="3C44334C" w14:textId="77777777" w:rsidR="009C74F9" w:rsidRPr="00D75FE2" w:rsidRDefault="009C74F9" w:rsidP="009C74F9">
      <w:pPr>
        <w:numPr>
          <w:ilvl w:val="0"/>
          <w:numId w:val="43"/>
        </w:num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 xml:space="preserve">Trial Coordination </w:t>
      </w:r>
    </w:p>
    <w:p w14:paraId="1F70CA72" w14:textId="77777777" w:rsidR="009C74F9" w:rsidRPr="00D75FE2" w:rsidRDefault="009C74F9" w:rsidP="009C74F9">
      <w:pPr>
        <w:numPr>
          <w:ilvl w:val="0"/>
          <w:numId w:val="43"/>
        </w:num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 xml:space="preserve">Data Management </w:t>
      </w:r>
    </w:p>
    <w:p w14:paraId="4513371A" w14:textId="77777777" w:rsidR="009C74F9" w:rsidRPr="00D75FE2" w:rsidRDefault="009C74F9" w:rsidP="009C74F9">
      <w:pPr>
        <w:numPr>
          <w:ilvl w:val="0"/>
          <w:numId w:val="43"/>
        </w:num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 xml:space="preserve">Accrual Tracking and Monitoring </w:t>
      </w:r>
    </w:p>
    <w:p w14:paraId="0D35C96C" w14:textId="77777777" w:rsidR="009C74F9" w:rsidRPr="00D75FE2" w:rsidRDefault="009C74F9" w:rsidP="009C74F9">
      <w:pPr>
        <w:numPr>
          <w:ilvl w:val="0"/>
          <w:numId w:val="43"/>
        </w:num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 xml:space="preserve">Specimen Processing and Management </w:t>
      </w:r>
    </w:p>
    <w:p w14:paraId="637CFA11" w14:textId="77777777" w:rsidR="009C74F9" w:rsidRPr="00D75FE2" w:rsidRDefault="009C74F9" w:rsidP="009C74F9">
      <w:pPr>
        <w:numPr>
          <w:ilvl w:val="0"/>
          <w:numId w:val="43"/>
        </w:num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 xml:space="preserve">Compliance Oversight </w:t>
      </w:r>
    </w:p>
    <w:p w14:paraId="4C92431B" w14:textId="77777777" w:rsidR="009C74F9" w:rsidRPr="00D75FE2" w:rsidRDefault="009C74F9" w:rsidP="009C74F9">
      <w:pPr>
        <w:numPr>
          <w:ilvl w:val="0"/>
          <w:numId w:val="43"/>
        </w:num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 xml:space="preserve">Standardized Training </w:t>
      </w:r>
    </w:p>
    <w:p w14:paraId="22252FFD" w14:textId="77777777" w:rsidR="009C74F9" w:rsidRPr="00D75FE2" w:rsidRDefault="009C74F9" w:rsidP="009C74F9">
      <w:pPr>
        <w:numPr>
          <w:ilvl w:val="0"/>
          <w:numId w:val="43"/>
        </w:num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 xml:space="preserve">Quality Assurance </w:t>
      </w:r>
    </w:p>
    <w:p w14:paraId="07AEB3D6" w14:textId="77777777" w:rsidR="009C74F9" w:rsidRPr="00D75FE2" w:rsidRDefault="009C74F9" w:rsidP="009C74F9">
      <w:pPr>
        <w:numPr>
          <w:ilvl w:val="0"/>
          <w:numId w:val="43"/>
        </w:numPr>
        <w:rPr>
          <w:rFonts w:ascii="Arial" w:eastAsia="Times New Roman" w:hAnsi="Arial" w:cs="Arial"/>
          <w:kern w:val="0"/>
          <w:sz w:val="22"/>
          <w:szCs w:val="22"/>
          <w14:ligatures w14:val="none"/>
        </w:rPr>
      </w:pPr>
      <w:r w:rsidRPr="00D75FE2">
        <w:rPr>
          <w:rFonts w:ascii="Arial" w:eastAsia="Times New Roman" w:hAnsi="Arial" w:cs="Arial"/>
          <w:kern w:val="0"/>
          <w:sz w:val="22"/>
          <w:szCs w:val="22"/>
          <w14:ligatures w14:val="none"/>
        </w:rPr>
        <w:t xml:space="preserve">ClinicalTrials.Gov Reporting </w:t>
      </w:r>
    </w:p>
    <w:p w14:paraId="04451440" w14:textId="77777777" w:rsidR="009C74F9" w:rsidRDefault="009C74F9" w:rsidP="009C74F9">
      <w:pPr>
        <w:outlineLvl w:val="2"/>
        <w:rPr>
          <w:rFonts w:ascii="Arial" w:eastAsia="Times New Roman" w:hAnsi="Arial" w:cs="Arial"/>
          <w:b/>
          <w:bCs/>
          <w:kern w:val="0"/>
          <w:sz w:val="22"/>
          <w:szCs w:val="22"/>
          <w14:ligatures w14:val="none"/>
        </w:rPr>
      </w:pPr>
    </w:p>
    <w:p w14:paraId="04C16694" w14:textId="77777777" w:rsidR="00C26A26" w:rsidRDefault="00C26A26" w:rsidP="00C26A26">
      <w:pPr>
        <w:rPr>
          <w:rFonts w:ascii="Arial" w:hAnsi="Arial" w:cs="Arial"/>
          <w:color w:val="000000" w:themeColor="text1"/>
          <w:sz w:val="22"/>
          <w:szCs w:val="22"/>
        </w:rPr>
      </w:pPr>
      <w:r w:rsidRPr="006346EC">
        <w:rPr>
          <w:rFonts w:ascii="Arial" w:hAnsi="Arial" w:cs="Arial"/>
          <w:b/>
          <w:color w:val="000000" w:themeColor="text1"/>
          <w:sz w:val="22"/>
          <w:szCs w:val="22"/>
          <w:u w:val="single"/>
        </w:rPr>
        <w:t>Cardiovascular Basic/Translational Research Cluster</w:t>
      </w:r>
      <w:r>
        <w:rPr>
          <w:rFonts w:ascii="Arial" w:hAnsi="Arial" w:cs="Arial"/>
          <w:b/>
          <w:color w:val="000000" w:themeColor="text1"/>
          <w:sz w:val="22"/>
          <w:szCs w:val="22"/>
          <w:u w:val="single"/>
        </w:rPr>
        <w:t xml:space="preserve"> </w:t>
      </w:r>
      <w:r w:rsidRPr="000405E8">
        <w:rPr>
          <w:rFonts w:ascii="Arial" w:hAnsi="Arial" w:cs="Arial"/>
          <w:b/>
          <w:bCs/>
          <w:color w:val="000000" w:themeColor="text1"/>
          <w:sz w:val="22"/>
          <w:szCs w:val="22"/>
          <w:u w:val="single"/>
        </w:rPr>
        <w:t>Laboratory</w:t>
      </w:r>
      <w:r w:rsidRPr="006346EC">
        <w:rPr>
          <w:rFonts w:ascii="Arial" w:hAnsi="Arial" w:cs="Arial"/>
          <w:color w:val="000000" w:themeColor="text1"/>
          <w:sz w:val="22"/>
          <w:szCs w:val="22"/>
        </w:rPr>
        <w:t xml:space="preserve"> </w:t>
      </w:r>
    </w:p>
    <w:p w14:paraId="0A8900A1" w14:textId="77777777" w:rsidR="00C26A26" w:rsidRPr="00774E24" w:rsidRDefault="00C26A26" w:rsidP="00C26A26">
      <w:pPr>
        <w:rPr>
          <w:rFonts w:ascii="Arial" w:hAnsi="Arial" w:cs="Arial"/>
          <w:b/>
          <w:color w:val="000000" w:themeColor="text1"/>
          <w:sz w:val="22"/>
          <w:szCs w:val="22"/>
          <w:u w:val="single"/>
        </w:rPr>
      </w:pPr>
      <w:r w:rsidRPr="006346EC">
        <w:rPr>
          <w:rFonts w:ascii="Arial" w:hAnsi="Arial" w:cs="Arial"/>
          <w:color w:val="000000" w:themeColor="text1"/>
          <w:sz w:val="22"/>
          <w:szCs w:val="22"/>
        </w:rPr>
        <w:t xml:space="preserve">The Davis Heart and Lung Research Institute (DHLRI) was created over 2 decades ago to foster an integrated program encompassing fundamental research, education and preventive efforts in heart and lung diseases. The physical plant is comprised of &gt;220,000 sq ft of research space over six different research buildings for ~100 principal investigators throughout the Ohio State Medical Center campus. Faculty in the Institute study integrated aspects of cardiopulmonary function including heart failure and arrhythmia, ischemic injury and repair, idiopathic pulmonary fibrosis, acute lung injury, environmental factors for cardiopulmonary disease, integrated aspects of metabolic disease, adipose tissue biology, genetic basis of human disease and advanced therapeutics. </w:t>
      </w:r>
    </w:p>
    <w:p w14:paraId="44E9D131" w14:textId="77777777" w:rsidR="00C26A26" w:rsidRPr="006346EC" w:rsidRDefault="00C26A26" w:rsidP="00C26A26">
      <w:pPr>
        <w:rPr>
          <w:rFonts w:ascii="Arial" w:hAnsi="Arial" w:cs="Arial"/>
          <w:color w:val="000000" w:themeColor="text1"/>
          <w:sz w:val="22"/>
          <w:szCs w:val="22"/>
        </w:rPr>
      </w:pPr>
    </w:p>
    <w:p w14:paraId="590B2130" w14:textId="77777777" w:rsidR="00C26A26" w:rsidRPr="006346EC" w:rsidRDefault="00C26A26" w:rsidP="00C26A26">
      <w:pPr>
        <w:rPr>
          <w:rFonts w:ascii="Arial" w:hAnsi="Arial" w:cs="Arial"/>
          <w:color w:val="000000" w:themeColor="text1"/>
          <w:sz w:val="22"/>
          <w:szCs w:val="22"/>
        </w:rPr>
      </w:pPr>
      <w:r w:rsidRPr="006346EC">
        <w:rPr>
          <w:rFonts w:ascii="Arial" w:hAnsi="Arial" w:cs="Arial"/>
          <w:color w:val="000000" w:themeColor="text1"/>
          <w:sz w:val="22"/>
          <w:szCs w:val="22"/>
        </w:rPr>
        <w:t xml:space="preserve">The DHLRI houses extensive facilities and equipment resources, providing faculty access to bioinformatics, cell sorting and cytometry, confocal microscopy, proteomics, Seahorse XF Metabolic Analyzer, EPR/MRI imaging, echocardiography, NMR spectroscopy, mass spectrometry, metabolic monitoring cages (CLAMS), confocal microscopy and super resolution imaging, microarray, gene sequencing and real time PCR facilities (investment of &gt;$55 million). The DHLRI also houses the Bob and Corinne Center for Heart Failure and Arrhythmia, ~30,000 sq ft of renovated space in the Wexner Medical Center (Graves Hall) with shared equipment to support modern molecular biology, cell biology, animal physiology, electrophysiology, cell culture and virus production. Shared equipment includes an EVOS imaging system; an optical mapping system (MiCAM Ultima-L) for voltage and calcium imaging of isolated, Langendorff-perfused heart preparations; echocardiographic imaging system for rodents; a Langendorff apparatus and circulation pumps for isolation of cardiomyocytes; patch clamp rigs with amplifiers, data acquisition system and inverted microscope for electrophysiology; a dual bio amp and 4 channel recorder for measurement of surface electrocardiograms; implantable telemeters and recording system for recording electrocardiograms in unanesthetized animals; ultracentrifuges and low-medium speed centrifuges with multiple rotors; </w:t>
      </w:r>
      <w:proofErr w:type="spellStart"/>
      <w:r w:rsidRPr="006346EC">
        <w:rPr>
          <w:rFonts w:ascii="Arial" w:hAnsi="Arial" w:cs="Arial"/>
          <w:color w:val="000000" w:themeColor="text1"/>
          <w:sz w:val="22"/>
          <w:szCs w:val="22"/>
        </w:rPr>
        <w:t>qRT</w:t>
      </w:r>
      <w:proofErr w:type="spellEnd"/>
      <w:r w:rsidRPr="006346EC">
        <w:rPr>
          <w:rFonts w:ascii="Arial" w:hAnsi="Arial" w:cs="Arial"/>
          <w:color w:val="000000" w:themeColor="text1"/>
          <w:sz w:val="22"/>
          <w:szCs w:val="22"/>
        </w:rPr>
        <w:t>-PCR machines; cryostat for preparation of frozen tissue sections; tissue culture hoods; a spectrophotometer; thermal cyclers for PCR; -80 and -20degC freezers; HPLC equipment; yeast and bacterial incubators; DNA and protein gel systems; Bio-Rad gel imaging docs; scintillation counters; autoclaves.</w:t>
      </w:r>
    </w:p>
    <w:p w14:paraId="1B0506DB" w14:textId="77777777" w:rsidR="00C26A26" w:rsidRPr="006346EC" w:rsidRDefault="00C26A26" w:rsidP="00C26A26">
      <w:pPr>
        <w:rPr>
          <w:rFonts w:ascii="Arial" w:hAnsi="Arial" w:cs="Arial"/>
          <w:color w:val="000000" w:themeColor="text1"/>
          <w:sz w:val="22"/>
          <w:szCs w:val="22"/>
          <w:u w:val="single"/>
        </w:rPr>
      </w:pPr>
    </w:p>
    <w:p w14:paraId="2AE4BFEC" w14:textId="77777777" w:rsidR="00C26A26" w:rsidRPr="006346EC" w:rsidRDefault="00C26A26" w:rsidP="00C26A26">
      <w:pPr>
        <w:rPr>
          <w:rFonts w:ascii="Arial" w:hAnsi="Arial" w:cs="Arial"/>
          <w:color w:val="000000" w:themeColor="text1"/>
          <w:sz w:val="22"/>
          <w:szCs w:val="22"/>
        </w:rPr>
      </w:pPr>
      <w:r w:rsidRPr="000405E8">
        <w:rPr>
          <w:rFonts w:ascii="Arial" w:hAnsi="Arial" w:cs="Arial"/>
          <w:b/>
          <w:bCs/>
          <w:color w:val="000000" w:themeColor="text1"/>
          <w:sz w:val="22"/>
          <w:szCs w:val="22"/>
          <w:u w:val="single"/>
        </w:rPr>
        <w:t>Core Facilities</w:t>
      </w:r>
      <w:r w:rsidRPr="006346EC">
        <w:rPr>
          <w:rFonts w:ascii="Arial" w:hAnsi="Arial" w:cs="Arial"/>
          <w:color w:val="000000" w:themeColor="text1"/>
          <w:sz w:val="22"/>
          <w:szCs w:val="22"/>
        </w:rPr>
        <w:t xml:space="preserve"> – DHRLI runs several cores to support physiological research that offer innovative technologies for basic and clinical research (described below). DHLRI investigators also have access to state-of-the-art Core labs operated by the Comprehensive Cancer Center or other units at the Ohio State Wexner Medical Center, including Bioinformatics, Campus Microscopy and Imaging Facility, Comparative Pathology and Genomics. Each of these Cores is directed by a faculty scientist who is a leading expert in the relevant technology with an experienced full-time manager who supports the application needs of the users.</w:t>
      </w:r>
    </w:p>
    <w:p w14:paraId="24A39BB3" w14:textId="77777777" w:rsidR="00C26A26" w:rsidRPr="006346EC" w:rsidRDefault="00C26A26" w:rsidP="00C26A26">
      <w:pPr>
        <w:rPr>
          <w:rFonts w:ascii="Arial" w:hAnsi="Arial" w:cs="Arial"/>
          <w:color w:val="000000" w:themeColor="text1"/>
          <w:sz w:val="22"/>
          <w:szCs w:val="22"/>
          <w:u w:val="single"/>
        </w:rPr>
      </w:pPr>
    </w:p>
    <w:p w14:paraId="3398E923" w14:textId="77777777" w:rsidR="00C26A26" w:rsidRPr="006346EC" w:rsidRDefault="00C26A26" w:rsidP="00C26A26">
      <w:pPr>
        <w:rPr>
          <w:rFonts w:ascii="Arial" w:hAnsi="Arial" w:cs="Arial"/>
          <w:color w:val="000000" w:themeColor="text1"/>
          <w:sz w:val="22"/>
          <w:szCs w:val="22"/>
        </w:rPr>
      </w:pPr>
      <w:r w:rsidRPr="000405E8">
        <w:rPr>
          <w:rFonts w:ascii="Arial" w:hAnsi="Arial" w:cs="Arial"/>
          <w:b/>
          <w:bCs/>
          <w:color w:val="000000" w:themeColor="text1"/>
          <w:sz w:val="22"/>
          <w:szCs w:val="22"/>
          <w:u w:val="single"/>
        </w:rPr>
        <w:t>Small Animal Imaging Core</w:t>
      </w:r>
      <w:r w:rsidRPr="006346EC">
        <w:rPr>
          <w:rFonts w:ascii="Arial" w:hAnsi="Arial" w:cs="Arial"/>
          <w:color w:val="000000" w:themeColor="text1"/>
          <w:sz w:val="22"/>
          <w:szCs w:val="22"/>
        </w:rPr>
        <w:t xml:space="preserve"> – The Small Animal Imaging Core (SAIC) at the Davis Heart and Lung Research Institute is a comprehensive small animal imaging facility available to investigators at The Ohio State University and other academic and commercial institutions. This facility includes high resolution imaging equipment (MRI, ultrasound, </w:t>
      </w:r>
      <w:proofErr w:type="spellStart"/>
      <w:r w:rsidRPr="006346EC">
        <w:rPr>
          <w:rFonts w:ascii="Arial" w:hAnsi="Arial" w:cs="Arial"/>
          <w:color w:val="000000" w:themeColor="text1"/>
          <w:sz w:val="22"/>
          <w:szCs w:val="22"/>
        </w:rPr>
        <w:t>microCT</w:t>
      </w:r>
      <w:proofErr w:type="spellEnd"/>
      <w:r w:rsidRPr="006346EC">
        <w:rPr>
          <w:rFonts w:ascii="Arial" w:hAnsi="Arial" w:cs="Arial"/>
          <w:color w:val="000000" w:themeColor="text1"/>
          <w:sz w:val="22"/>
          <w:szCs w:val="22"/>
        </w:rPr>
        <w:t xml:space="preserve"> and optical), X-ray irradiator, body composition analyzer and personnel trained in the operation of each imaging modality and small animal handling procedures, as well as analytical software support for quantitative image analysis. In addition to providing interim animal housing for serial imaging studies, the SAIC also offers on-site suites for surgical procedures and animal care provided by the University Laboratory Animal Resources. Image reconstruction, multi-modality fusion, quantitative image analysis, high resolution graphics and networking to the facility's server are also available. </w:t>
      </w:r>
    </w:p>
    <w:p w14:paraId="0C34A5A8" w14:textId="77777777" w:rsidR="00C26A26" w:rsidRPr="006346EC" w:rsidRDefault="00C26A26" w:rsidP="00C26A26">
      <w:pPr>
        <w:rPr>
          <w:rFonts w:ascii="Arial" w:hAnsi="Arial" w:cs="Arial"/>
          <w:color w:val="000000" w:themeColor="text1"/>
          <w:sz w:val="22"/>
          <w:szCs w:val="22"/>
          <w:u w:val="single"/>
        </w:rPr>
      </w:pPr>
    </w:p>
    <w:p w14:paraId="5AC3CB83" w14:textId="77777777" w:rsidR="00C26A26" w:rsidRPr="006346EC" w:rsidRDefault="00C26A26" w:rsidP="00C26A26">
      <w:pPr>
        <w:rPr>
          <w:rFonts w:ascii="Arial" w:hAnsi="Arial" w:cs="Arial"/>
          <w:color w:val="000000" w:themeColor="text1"/>
          <w:sz w:val="22"/>
          <w:szCs w:val="22"/>
        </w:rPr>
      </w:pPr>
      <w:r w:rsidRPr="000405E8">
        <w:rPr>
          <w:rFonts w:ascii="Arial" w:hAnsi="Arial" w:cs="Arial"/>
          <w:b/>
          <w:bCs/>
          <w:color w:val="000000" w:themeColor="text1"/>
          <w:sz w:val="22"/>
          <w:szCs w:val="22"/>
          <w:u w:val="single"/>
        </w:rPr>
        <w:lastRenderedPageBreak/>
        <w:t>Interventional Cardiology Cath Lab Core</w:t>
      </w:r>
      <w:r w:rsidRPr="006346EC">
        <w:rPr>
          <w:rFonts w:ascii="Arial" w:hAnsi="Arial" w:cs="Arial"/>
          <w:color w:val="000000" w:themeColor="text1"/>
          <w:sz w:val="22"/>
          <w:szCs w:val="22"/>
        </w:rPr>
        <w:t xml:space="preserve"> – The Davis Heart and Lung Research Institute's Interventional Cath Core fosters the development of interventional devices, therapies and techniques by providing a translational laboratory setting where basic research findings can be developed into clinically relevant treatments for cardiovascular diseases. The non-GLP core is set up to accommodate a wide variety of interventional cardiac procedures using large animal models. Minimally invasive chronic procedures are permitted in this space. Non-cardiac studies can also benefit from the use of fluoroscopic guidance allowing real time x-ray confirmation during procedures. Orthopedic groups have found it useful for guiding injections into joints. The aide of a contrast agent makes it possible for surgeons to look for leaks following procedures in the GI tract. The core is equipped with an OEC 9800 mobile C-arm with cardiac package and digitally archived images. Support equipment include an anesthesia machine, ventilator, basic monitoring equipment (ECG, pressure, pulse Ox), cautery, IV pump and power injector. </w:t>
      </w:r>
    </w:p>
    <w:p w14:paraId="2463443F" w14:textId="77777777" w:rsidR="00C26A26" w:rsidRPr="006346EC" w:rsidRDefault="00C26A26" w:rsidP="00C26A26">
      <w:pPr>
        <w:rPr>
          <w:rFonts w:ascii="Arial" w:hAnsi="Arial" w:cs="Arial"/>
          <w:color w:val="000000" w:themeColor="text1"/>
          <w:sz w:val="22"/>
          <w:szCs w:val="22"/>
          <w:u w:val="single"/>
        </w:rPr>
      </w:pPr>
    </w:p>
    <w:p w14:paraId="0F3DEEB2" w14:textId="77777777" w:rsidR="00C26A26" w:rsidRPr="006346EC" w:rsidRDefault="00C26A26" w:rsidP="00C26A26">
      <w:pPr>
        <w:rPr>
          <w:rFonts w:ascii="Arial" w:hAnsi="Arial" w:cs="Arial"/>
          <w:color w:val="000000" w:themeColor="text1"/>
          <w:sz w:val="22"/>
          <w:szCs w:val="22"/>
        </w:rPr>
      </w:pPr>
      <w:r w:rsidRPr="000405E8">
        <w:rPr>
          <w:rFonts w:ascii="Arial" w:hAnsi="Arial" w:cs="Arial"/>
          <w:b/>
          <w:bCs/>
          <w:color w:val="000000" w:themeColor="text1"/>
          <w:sz w:val="22"/>
          <w:szCs w:val="22"/>
          <w:u w:val="single"/>
        </w:rPr>
        <w:t>Cardiovascular Imaging Research Center</w:t>
      </w:r>
      <w:r w:rsidRPr="006346EC">
        <w:rPr>
          <w:rFonts w:ascii="Arial" w:hAnsi="Arial" w:cs="Arial"/>
          <w:color w:val="000000" w:themeColor="text1"/>
          <w:sz w:val="22"/>
          <w:szCs w:val="22"/>
        </w:rPr>
        <w:t xml:space="preserve"> – Cardiovascular Imaging Research Center (CIRC) provides support for advanced cardiovascular imaging and/or image analysis for their human subjects or large animal research. Modalities include: 1) 1.5T Siemens MAGNETOM Sola (located in the Ross Heart Hospital); 2) 3.0T Siemens MAGNETOM Vida (located at Martha Morehouse Outpatient Care); and 3) 0.55T Siemens MAGNETOM </w:t>
      </w:r>
      <w:proofErr w:type="spellStart"/>
      <w:r w:rsidRPr="006346EC">
        <w:rPr>
          <w:rFonts w:ascii="Arial" w:hAnsi="Arial" w:cs="Arial"/>
          <w:color w:val="000000" w:themeColor="text1"/>
          <w:sz w:val="22"/>
          <w:szCs w:val="22"/>
        </w:rPr>
        <w:t>Free.Max</w:t>
      </w:r>
      <w:proofErr w:type="spellEnd"/>
      <w:r w:rsidRPr="006346EC">
        <w:rPr>
          <w:rFonts w:ascii="Arial" w:hAnsi="Arial" w:cs="Arial"/>
          <w:color w:val="000000" w:themeColor="text1"/>
          <w:sz w:val="22"/>
          <w:szCs w:val="22"/>
        </w:rPr>
        <w:t xml:space="preserve"> (located at Martha Morehouse Outpatient Care). The core helps to identify the optimal imaging modality and to design appropriate imaging experiments and data analysis strategies. Investigators are guided through the process of scheduling and executing imaging experiments in the CIRC, where image acquisition and analysis will be performed by CIRC personnel. </w:t>
      </w:r>
    </w:p>
    <w:p w14:paraId="55FAD2EB" w14:textId="77777777" w:rsidR="00C26A26" w:rsidRPr="006346EC" w:rsidRDefault="00C26A26" w:rsidP="00C26A26">
      <w:pPr>
        <w:rPr>
          <w:rFonts w:ascii="Arial" w:hAnsi="Arial" w:cs="Arial"/>
          <w:color w:val="000000" w:themeColor="text1"/>
          <w:sz w:val="22"/>
          <w:szCs w:val="22"/>
        </w:rPr>
      </w:pPr>
    </w:p>
    <w:p w14:paraId="127A5A50" w14:textId="77777777" w:rsidR="00C26A26" w:rsidRPr="006346EC" w:rsidRDefault="00C26A26" w:rsidP="00C26A26">
      <w:pPr>
        <w:rPr>
          <w:rFonts w:ascii="Arial" w:hAnsi="Arial" w:cs="Arial"/>
          <w:color w:val="000000" w:themeColor="text1"/>
          <w:sz w:val="22"/>
          <w:szCs w:val="22"/>
        </w:rPr>
      </w:pPr>
      <w:r w:rsidRPr="000405E8">
        <w:rPr>
          <w:rFonts w:ascii="Arial" w:hAnsi="Arial" w:cs="Arial"/>
          <w:b/>
          <w:bCs/>
          <w:color w:val="000000" w:themeColor="text1"/>
          <w:sz w:val="22"/>
          <w:szCs w:val="22"/>
          <w:u w:val="single"/>
        </w:rPr>
        <w:t>Flow Cytometry Core</w:t>
      </w:r>
      <w:r w:rsidRPr="006346EC">
        <w:rPr>
          <w:rFonts w:ascii="Arial" w:hAnsi="Arial" w:cs="Arial"/>
          <w:color w:val="000000" w:themeColor="text1"/>
          <w:sz w:val="22"/>
          <w:szCs w:val="22"/>
        </w:rPr>
        <w:t xml:space="preserve"> – The DHLRI flow cytometry core provides cell sorting and immunophenotyping services for DHLRI members. The flow core provides instrumentation for full-spectrum analytical cytometry (</w:t>
      </w:r>
      <w:proofErr w:type="spellStart"/>
      <w:r w:rsidRPr="006346EC">
        <w:rPr>
          <w:rFonts w:ascii="Arial" w:hAnsi="Arial" w:cs="Arial"/>
          <w:color w:val="000000" w:themeColor="text1"/>
          <w:sz w:val="22"/>
          <w:szCs w:val="22"/>
        </w:rPr>
        <w:t>Cytek</w:t>
      </w:r>
      <w:proofErr w:type="spellEnd"/>
      <w:r w:rsidRPr="006346EC">
        <w:rPr>
          <w:rFonts w:ascii="Arial" w:hAnsi="Arial" w:cs="Arial"/>
          <w:color w:val="000000" w:themeColor="text1"/>
          <w:sz w:val="22"/>
          <w:szCs w:val="22"/>
        </w:rPr>
        <w:t xml:space="preserve"> Northern Lights) as well as cell sorting (</w:t>
      </w:r>
      <w:proofErr w:type="spellStart"/>
      <w:r w:rsidRPr="006346EC">
        <w:rPr>
          <w:rFonts w:ascii="Arial" w:hAnsi="Arial" w:cs="Arial"/>
          <w:color w:val="000000" w:themeColor="text1"/>
          <w:sz w:val="22"/>
          <w:szCs w:val="22"/>
        </w:rPr>
        <w:t>Cytek</w:t>
      </w:r>
      <w:proofErr w:type="spellEnd"/>
      <w:r w:rsidRPr="006346EC">
        <w:rPr>
          <w:rFonts w:ascii="Arial" w:hAnsi="Arial" w:cs="Arial"/>
          <w:color w:val="000000" w:themeColor="text1"/>
          <w:sz w:val="22"/>
          <w:szCs w:val="22"/>
        </w:rPr>
        <w:t xml:space="preserve"> Aurora CS). With these instruments, investigators can utilize full spectrum profiling (FSP) to design and implement highly complex assays (25+ biomarkers with a 3-laser system) and perform up to 6-way cell sorting, as well as plate sorting. DHLRI members can receive instrument training and troubleshooting upon request.</w:t>
      </w:r>
    </w:p>
    <w:p w14:paraId="7AE779D6" w14:textId="77777777" w:rsidR="00C26A26" w:rsidRPr="006346EC" w:rsidRDefault="00C26A26" w:rsidP="00C26A26">
      <w:pPr>
        <w:rPr>
          <w:rFonts w:ascii="Arial" w:hAnsi="Arial" w:cs="Arial"/>
          <w:color w:val="000000" w:themeColor="text1"/>
          <w:sz w:val="22"/>
          <w:szCs w:val="22"/>
        </w:rPr>
      </w:pPr>
    </w:p>
    <w:p w14:paraId="1D3A1196" w14:textId="77777777" w:rsidR="00C26A26" w:rsidRPr="006346EC" w:rsidRDefault="00C26A26" w:rsidP="00C26A26">
      <w:pPr>
        <w:rPr>
          <w:rFonts w:ascii="Arial" w:hAnsi="Arial" w:cs="Arial"/>
          <w:color w:val="000000" w:themeColor="text1"/>
          <w:sz w:val="22"/>
          <w:szCs w:val="22"/>
          <w:u w:val="single"/>
        </w:rPr>
      </w:pPr>
      <w:r w:rsidRPr="000405E8">
        <w:rPr>
          <w:rFonts w:ascii="Arial" w:hAnsi="Arial" w:cs="Arial"/>
          <w:b/>
          <w:bCs/>
          <w:color w:val="000000" w:themeColor="text1"/>
          <w:sz w:val="22"/>
          <w:szCs w:val="22"/>
          <w:u w:val="single"/>
        </w:rPr>
        <w:t>Metabolism Core</w:t>
      </w:r>
      <w:r w:rsidRPr="006346EC">
        <w:rPr>
          <w:rFonts w:ascii="Arial" w:hAnsi="Arial" w:cs="Arial"/>
          <w:color w:val="000000" w:themeColor="text1"/>
          <w:sz w:val="22"/>
          <w:szCs w:val="22"/>
        </w:rPr>
        <w:t xml:space="preserve"> – Columbus Instrument's Comprehensive Lab Animal Monitoring System (CLAMS) incorporates sub-systems for open circuit calorimetry and activity in an environmental chamber: </w:t>
      </w:r>
      <w:proofErr w:type="spellStart"/>
      <w:r w:rsidRPr="006346EC">
        <w:rPr>
          <w:rFonts w:ascii="Arial" w:hAnsi="Arial" w:cs="Arial"/>
          <w:color w:val="000000" w:themeColor="text1"/>
          <w:sz w:val="22"/>
          <w:szCs w:val="22"/>
        </w:rPr>
        <w:t>Oxymax</w:t>
      </w:r>
      <w:proofErr w:type="spellEnd"/>
      <w:r w:rsidRPr="006346EC">
        <w:rPr>
          <w:rFonts w:ascii="Arial" w:hAnsi="Arial" w:cs="Arial"/>
          <w:color w:val="000000" w:themeColor="text1"/>
          <w:sz w:val="22"/>
          <w:szCs w:val="22"/>
        </w:rPr>
        <w:t xml:space="preserve">/CLAMS is the one-test solution for simultaneous multi parameter assessment of one to nine mice. Operation of </w:t>
      </w:r>
      <w:proofErr w:type="spellStart"/>
      <w:r w:rsidRPr="006346EC">
        <w:rPr>
          <w:rFonts w:ascii="Arial" w:hAnsi="Arial" w:cs="Arial"/>
          <w:color w:val="000000" w:themeColor="text1"/>
          <w:sz w:val="22"/>
          <w:szCs w:val="22"/>
        </w:rPr>
        <w:t>Oxymax</w:t>
      </w:r>
      <w:proofErr w:type="spellEnd"/>
      <w:r w:rsidRPr="006346EC">
        <w:rPr>
          <w:rFonts w:ascii="Arial" w:hAnsi="Arial" w:cs="Arial"/>
          <w:color w:val="000000" w:themeColor="text1"/>
          <w:sz w:val="22"/>
          <w:szCs w:val="22"/>
        </w:rPr>
        <w:t xml:space="preserve">/CLAMS and data collection is performed by an integrated program. The resulting secure data sets can be exported to Comma Separated Value (CSV) files and provide the link between </w:t>
      </w:r>
      <w:proofErr w:type="spellStart"/>
      <w:r w:rsidRPr="006346EC">
        <w:rPr>
          <w:rFonts w:ascii="Arial" w:hAnsi="Arial" w:cs="Arial"/>
          <w:color w:val="000000" w:themeColor="text1"/>
          <w:sz w:val="22"/>
          <w:szCs w:val="22"/>
        </w:rPr>
        <w:t>Oxymax</w:t>
      </w:r>
      <w:proofErr w:type="spellEnd"/>
      <w:r w:rsidRPr="006346EC">
        <w:rPr>
          <w:rFonts w:ascii="Arial" w:hAnsi="Arial" w:cs="Arial"/>
          <w:color w:val="000000" w:themeColor="text1"/>
          <w:sz w:val="22"/>
          <w:szCs w:val="22"/>
        </w:rPr>
        <w:t>/CLAMS and your existing data analysis tools.</w:t>
      </w:r>
    </w:p>
    <w:p w14:paraId="57C1714C" w14:textId="77777777" w:rsidR="00C26A26" w:rsidRPr="006346EC" w:rsidRDefault="00C26A26" w:rsidP="00C26A26">
      <w:pPr>
        <w:rPr>
          <w:rFonts w:ascii="Arial" w:hAnsi="Arial" w:cs="Arial"/>
          <w:b/>
          <w:bCs/>
          <w:color w:val="000000" w:themeColor="text1"/>
          <w:sz w:val="22"/>
          <w:szCs w:val="22"/>
          <w:u w:val="single"/>
        </w:rPr>
      </w:pPr>
    </w:p>
    <w:p w14:paraId="3324473A" w14:textId="77777777" w:rsidR="00C26A26" w:rsidRPr="006346EC" w:rsidRDefault="00C26A26" w:rsidP="00C26A26">
      <w:pPr>
        <w:rPr>
          <w:rFonts w:ascii="Arial" w:hAnsi="Arial" w:cs="Arial"/>
          <w:b/>
          <w:bCs/>
          <w:color w:val="000000" w:themeColor="text1"/>
          <w:sz w:val="22"/>
          <w:szCs w:val="22"/>
          <w:u w:val="single"/>
        </w:rPr>
      </w:pPr>
    </w:p>
    <w:p w14:paraId="11CD5503" w14:textId="77777777" w:rsidR="00C26A26" w:rsidRPr="006346EC" w:rsidRDefault="00C26A26" w:rsidP="00C26A26">
      <w:pPr>
        <w:rPr>
          <w:rFonts w:ascii="Arial" w:hAnsi="Arial" w:cs="Arial"/>
          <w:b/>
          <w:bCs/>
          <w:color w:val="000000" w:themeColor="text1"/>
          <w:sz w:val="22"/>
          <w:szCs w:val="22"/>
          <w:u w:val="single"/>
        </w:rPr>
      </w:pPr>
      <w:r w:rsidRPr="006346EC">
        <w:rPr>
          <w:rFonts w:ascii="Arial" w:hAnsi="Arial" w:cs="Arial"/>
          <w:b/>
          <w:bCs/>
          <w:color w:val="000000" w:themeColor="text1"/>
          <w:sz w:val="22"/>
          <w:szCs w:val="22"/>
          <w:u w:val="single"/>
        </w:rPr>
        <w:t>Center for HOPES</w:t>
      </w:r>
    </w:p>
    <w:p w14:paraId="0D431EDF" w14:textId="77777777" w:rsidR="00C26A26" w:rsidRPr="006346EC" w:rsidRDefault="00C26A26" w:rsidP="00C26A26">
      <w:pPr>
        <w:rPr>
          <w:rFonts w:ascii="Arial" w:hAnsi="Arial" w:cs="Arial"/>
          <w:color w:val="000000" w:themeColor="text1"/>
          <w:sz w:val="22"/>
          <w:szCs w:val="22"/>
        </w:rPr>
      </w:pPr>
      <w:r w:rsidRPr="006346EC">
        <w:rPr>
          <w:rFonts w:ascii="Arial" w:hAnsi="Arial" w:cs="Arial"/>
          <w:color w:val="000000" w:themeColor="text1"/>
          <w:sz w:val="22"/>
          <w:szCs w:val="22"/>
        </w:rPr>
        <w:t xml:space="preserve">The Center for Health Outcomes and Policy Evaluation Studies (HOPES), located in the Ohio State’s College of Public Health, was established in 1994 to conduct applied health services, outcomes and policy research to help public and private organizations evaluate clinical and programmatic effectiveness, quality of care and service provision and overall value of public health investments. Our mission is to use scientific methods to support health for all and social justice by building capacity for data-informed decision-making. </w:t>
      </w:r>
    </w:p>
    <w:p w14:paraId="63040F20" w14:textId="77777777" w:rsidR="00C26A26" w:rsidRPr="006346EC" w:rsidRDefault="00C26A26" w:rsidP="00C26A26">
      <w:pPr>
        <w:rPr>
          <w:rFonts w:ascii="Arial" w:hAnsi="Arial" w:cs="Arial"/>
          <w:color w:val="000000" w:themeColor="text1"/>
          <w:sz w:val="22"/>
          <w:szCs w:val="22"/>
        </w:rPr>
      </w:pPr>
    </w:p>
    <w:p w14:paraId="2DC52EB8" w14:textId="77777777" w:rsidR="00C26A26" w:rsidRPr="006346EC" w:rsidRDefault="00C26A26" w:rsidP="00C26A26">
      <w:pPr>
        <w:rPr>
          <w:rFonts w:ascii="Arial" w:hAnsi="Arial" w:cs="Arial"/>
          <w:color w:val="000000" w:themeColor="text1"/>
          <w:sz w:val="22"/>
          <w:szCs w:val="22"/>
        </w:rPr>
      </w:pPr>
      <w:r w:rsidRPr="006346EC">
        <w:rPr>
          <w:rFonts w:ascii="Arial" w:hAnsi="Arial" w:cs="Arial"/>
          <w:color w:val="000000" w:themeColor="text1"/>
          <w:sz w:val="22"/>
          <w:szCs w:val="22"/>
        </w:rPr>
        <w:t>All our studies are performed in close collaboration with our clients, which include government agencies, health care systems, foundations, private sector industries and community health organizations, along with other public and private entities.</w:t>
      </w:r>
    </w:p>
    <w:p w14:paraId="009E187F" w14:textId="77777777" w:rsidR="00C26A26" w:rsidRPr="006346EC" w:rsidRDefault="00C26A26" w:rsidP="00C26A26">
      <w:pPr>
        <w:rPr>
          <w:rFonts w:ascii="Arial" w:hAnsi="Arial" w:cs="Arial"/>
          <w:color w:val="000000" w:themeColor="text1"/>
          <w:sz w:val="22"/>
          <w:szCs w:val="22"/>
        </w:rPr>
      </w:pPr>
    </w:p>
    <w:p w14:paraId="4C1E76D5" w14:textId="77777777" w:rsidR="00C26A26" w:rsidRPr="006346EC" w:rsidRDefault="00C26A26" w:rsidP="00C26A26">
      <w:pPr>
        <w:rPr>
          <w:rFonts w:ascii="Arial" w:hAnsi="Arial" w:cs="Arial"/>
          <w:b/>
          <w:bCs/>
          <w:color w:val="000000" w:themeColor="text1"/>
          <w:sz w:val="22"/>
          <w:szCs w:val="22"/>
          <w:u w:val="single"/>
        </w:rPr>
      </w:pPr>
      <w:r w:rsidRPr="006346EC">
        <w:rPr>
          <w:rFonts w:ascii="Arial" w:hAnsi="Arial" w:cs="Arial"/>
          <w:b/>
          <w:bCs/>
          <w:color w:val="000000" w:themeColor="text1"/>
          <w:sz w:val="22"/>
          <w:szCs w:val="22"/>
          <w:u w:val="single"/>
        </w:rPr>
        <w:t>Center for Human Resource Research (CHRR)</w:t>
      </w:r>
    </w:p>
    <w:p w14:paraId="47C1BA26" w14:textId="77777777" w:rsidR="00C26A26" w:rsidRPr="006346EC" w:rsidRDefault="00C26A26" w:rsidP="00C26A26">
      <w:pPr>
        <w:rPr>
          <w:rFonts w:ascii="Arial" w:hAnsi="Arial" w:cs="Arial"/>
          <w:color w:val="000000" w:themeColor="text1"/>
          <w:sz w:val="22"/>
          <w:szCs w:val="22"/>
        </w:rPr>
      </w:pPr>
      <w:r w:rsidRPr="006346EC">
        <w:rPr>
          <w:rFonts w:ascii="Arial" w:hAnsi="Arial" w:cs="Arial"/>
          <w:color w:val="000000" w:themeColor="text1"/>
          <w:sz w:val="22"/>
          <w:szCs w:val="22"/>
        </w:rPr>
        <w:t xml:space="preserve">The Center for Human Resource Research (CHRR) was founded in 1965 to manage the National Longitudinal Surveys of Labor Market Experience (NLS) for the U.S. Department of Labor, a project that continues to this day. CHRR is a multidisciplinary research organization affiliated with the Division of Social and Behavioral Sciences in the College of Arts and Sciences at Ohio State. CHRR is responsible for designing survey instruments, overseeing fieldwork and generating and disseminating fully documented data sets to researchers in government, private research organizations and universities around the world. These interests range from the production of substantive analyses of economic, social and psychological aspects of individual labor market behavior to examining the impact of government programs and policies. CHRR’s strengths are in the </w:t>
      </w:r>
      <w:r w:rsidRPr="006346EC">
        <w:rPr>
          <w:rFonts w:ascii="Arial" w:hAnsi="Arial" w:cs="Arial"/>
          <w:color w:val="000000" w:themeColor="text1"/>
          <w:sz w:val="22"/>
          <w:szCs w:val="22"/>
        </w:rPr>
        <w:lastRenderedPageBreak/>
        <w:t xml:space="preserve">areas of survey design, analysis and data documentation and dissemination. The CHRR system has the best record for the timely production and distribution of public use files from computer-assisted personal interviewing (CAPI) surveys. In addition to conducting a </w:t>
      </w:r>
      <w:proofErr w:type="gramStart"/>
      <w:r w:rsidRPr="006346EC">
        <w:rPr>
          <w:rFonts w:ascii="Arial" w:hAnsi="Arial" w:cs="Arial"/>
          <w:color w:val="000000" w:themeColor="text1"/>
          <w:sz w:val="22"/>
          <w:szCs w:val="22"/>
        </w:rPr>
        <w:t>numerous surveys</w:t>
      </w:r>
      <w:proofErr w:type="gramEnd"/>
      <w:r w:rsidRPr="006346EC">
        <w:rPr>
          <w:rFonts w:ascii="Arial" w:hAnsi="Arial" w:cs="Arial"/>
          <w:color w:val="000000" w:themeColor="text1"/>
          <w:sz w:val="22"/>
          <w:szCs w:val="22"/>
        </w:rPr>
        <w:t>, CHRR staff members continue to contribute innovative applications of ideas and technology to the field of survey methodology.</w:t>
      </w:r>
    </w:p>
    <w:p w14:paraId="6E0F10E7" w14:textId="77777777" w:rsidR="00C26A26" w:rsidRPr="006346EC" w:rsidRDefault="00C26A26" w:rsidP="00C26A26">
      <w:pPr>
        <w:rPr>
          <w:rFonts w:ascii="Arial" w:hAnsi="Arial" w:cs="Arial"/>
          <w:color w:val="000000" w:themeColor="text1"/>
          <w:sz w:val="22"/>
          <w:szCs w:val="22"/>
        </w:rPr>
      </w:pPr>
    </w:p>
    <w:p w14:paraId="53086A99" w14:textId="77777777" w:rsidR="00C26A26" w:rsidRPr="006346EC" w:rsidRDefault="00C26A26" w:rsidP="00C26A26">
      <w:pPr>
        <w:rPr>
          <w:rFonts w:ascii="Arial" w:hAnsi="Arial" w:cs="Arial"/>
          <w:b/>
          <w:bCs/>
          <w:color w:val="000000" w:themeColor="text1"/>
          <w:sz w:val="22"/>
          <w:szCs w:val="22"/>
          <w:u w:val="single"/>
        </w:rPr>
      </w:pPr>
      <w:r w:rsidRPr="006346EC">
        <w:rPr>
          <w:rFonts w:ascii="Arial" w:hAnsi="Arial" w:cs="Arial"/>
          <w:b/>
          <w:bCs/>
          <w:color w:val="000000" w:themeColor="text1"/>
          <w:sz w:val="22"/>
          <w:szCs w:val="22"/>
          <w:u w:val="single"/>
        </w:rPr>
        <w:t>Center for Public Health Practice (CPHP)</w:t>
      </w:r>
    </w:p>
    <w:p w14:paraId="04EE5304" w14:textId="77777777" w:rsidR="00C26A26" w:rsidRPr="006346EC" w:rsidRDefault="00C26A26" w:rsidP="00C26A26">
      <w:pPr>
        <w:rPr>
          <w:rFonts w:ascii="Arial" w:hAnsi="Arial" w:cs="Arial"/>
          <w:color w:val="000000" w:themeColor="text1"/>
          <w:sz w:val="22"/>
          <w:szCs w:val="22"/>
        </w:rPr>
      </w:pPr>
      <w:r w:rsidRPr="006346EC">
        <w:rPr>
          <w:rFonts w:ascii="Arial" w:hAnsi="Arial" w:cs="Arial"/>
          <w:color w:val="000000" w:themeColor="text1"/>
          <w:sz w:val="22"/>
          <w:szCs w:val="22"/>
        </w:rPr>
        <w:t>The Center for Public Health Practice (CPHP), directed by Dr. Andrew Wapner, integrates the work of practitioners and academicians to improve the health of people and the well-being of communities. Programs and services are designed to increase the skills of public health practitioners and to build the capacity of organizations across Ohio. Included among its areas of expertise are workforce and organizational development, adult learning, group facilitation and process design, project management and practice-based research. The work of the CPHP is funded through grants and fee-for-service initiatives, including the federally funded Ohio Public Health Training Center, one of 37 public health training centers located across the U.S. funded through the Health Resources and Services Administration.</w:t>
      </w:r>
    </w:p>
    <w:p w14:paraId="45F3755A" w14:textId="77777777" w:rsidR="00C26A26" w:rsidRPr="006346EC" w:rsidRDefault="00C26A26" w:rsidP="00C26A26">
      <w:pPr>
        <w:rPr>
          <w:rFonts w:ascii="Arial" w:hAnsi="Arial" w:cs="Arial"/>
          <w:color w:val="000000" w:themeColor="text1"/>
          <w:sz w:val="22"/>
          <w:szCs w:val="22"/>
        </w:rPr>
      </w:pPr>
    </w:p>
    <w:p w14:paraId="27E9E0AD" w14:textId="77777777" w:rsidR="00C26A26" w:rsidRPr="006346EC" w:rsidRDefault="00C26A26" w:rsidP="00C26A26">
      <w:pPr>
        <w:rPr>
          <w:rFonts w:ascii="Arial" w:hAnsi="Arial" w:cs="Arial"/>
          <w:b/>
          <w:bCs/>
          <w:color w:val="000000" w:themeColor="text1"/>
          <w:sz w:val="22"/>
          <w:szCs w:val="22"/>
          <w:u w:val="single"/>
        </w:rPr>
      </w:pPr>
      <w:r w:rsidRPr="006346EC">
        <w:rPr>
          <w:rFonts w:ascii="Arial" w:hAnsi="Arial" w:cs="Arial"/>
          <w:b/>
          <w:bCs/>
          <w:color w:val="000000" w:themeColor="text1"/>
          <w:sz w:val="22"/>
          <w:szCs w:val="22"/>
          <w:u w:val="single"/>
        </w:rPr>
        <w:t>Center for Urban Regional Analysis (CURA)</w:t>
      </w:r>
    </w:p>
    <w:p w14:paraId="525D24AA" w14:textId="77777777" w:rsidR="00C26A26" w:rsidRPr="006346EC" w:rsidRDefault="00C26A26" w:rsidP="00C26A26">
      <w:pPr>
        <w:rPr>
          <w:rFonts w:ascii="Arial" w:hAnsi="Arial" w:cs="Arial"/>
          <w:color w:val="000000" w:themeColor="text1"/>
          <w:sz w:val="22"/>
          <w:szCs w:val="22"/>
        </w:rPr>
      </w:pPr>
      <w:r w:rsidRPr="006346EC">
        <w:rPr>
          <w:rFonts w:ascii="Arial" w:hAnsi="Arial" w:cs="Arial"/>
          <w:color w:val="000000" w:themeColor="text1"/>
          <w:sz w:val="22"/>
          <w:szCs w:val="22"/>
        </w:rPr>
        <w:t>The Center for Urban and Regional Analysis (CURA) is an interdisciplinary research innovation hub which brings together researchers from across campus to integrate spatial modeling and urban science to solve some of our communities most challenging problems. Founded in 2001, CURA has spent over two decades working with partners to solve complex geographic problems through research and outreach. Our mission is research and outreach to foster more sustainable, resilient and connected communities in Ohio and beyond using geospatial science and technologies. We serve as a bridge across academia, industry, the public sector and the community through basic and applied urban research, research-based undergraduate and graduate training and outreach.</w:t>
      </w:r>
    </w:p>
    <w:p w14:paraId="5A54631A" w14:textId="77777777" w:rsidR="00C26A26" w:rsidRPr="006346EC" w:rsidRDefault="00C26A26" w:rsidP="00C26A26">
      <w:pPr>
        <w:rPr>
          <w:rFonts w:ascii="Arial" w:hAnsi="Arial" w:cs="Arial"/>
          <w:color w:val="000000" w:themeColor="text1"/>
          <w:sz w:val="22"/>
          <w:szCs w:val="22"/>
        </w:rPr>
      </w:pPr>
    </w:p>
    <w:p w14:paraId="726AB203" w14:textId="77777777" w:rsidR="00C26A26" w:rsidRPr="006346EC" w:rsidRDefault="00C26A26" w:rsidP="00C26A26">
      <w:pPr>
        <w:rPr>
          <w:rFonts w:ascii="Arial" w:hAnsi="Arial" w:cs="Arial"/>
          <w:b/>
          <w:bCs/>
          <w:color w:val="000000" w:themeColor="text1"/>
          <w:sz w:val="22"/>
          <w:szCs w:val="22"/>
          <w:u w:val="single"/>
        </w:rPr>
      </w:pPr>
      <w:r w:rsidRPr="006346EC">
        <w:rPr>
          <w:rFonts w:ascii="Arial" w:hAnsi="Arial" w:cs="Arial"/>
          <w:b/>
          <w:bCs/>
          <w:color w:val="000000" w:themeColor="text1"/>
          <w:sz w:val="22"/>
          <w:szCs w:val="22"/>
          <w:u w:val="single"/>
        </w:rPr>
        <w:t>Comparative and Translational Medicine Program (CTMP)</w:t>
      </w:r>
    </w:p>
    <w:p w14:paraId="023C0791" w14:textId="77777777" w:rsidR="00C26A26" w:rsidRPr="006346EC" w:rsidRDefault="00C26A26" w:rsidP="00C26A26">
      <w:pPr>
        <w:rPr>
          <w:rFonts w:ascii="Arial" w:hAnsi="Arial" w:cs="Arial"/>
          <w:color w:val="000000" w:themeColor="text1"/>
          <w:sz w:val="22"/>
          <w:szCs w:val="22"/>
        </w:rPr>
      </w:pPr>
      <w:r w:rsidRPr="006346EC">
        <w:rPr>
          <w:rFonts w:ascii="Arial" w:hAnsi="Arial" w:cs="Arial"/>
          <w:color w:val="000000" w:themeColor="text1"/>
          <w:sz w:val="22"/>
          <w:szCs w:val="22"/>
        </w:rPr>
        <w:t>The Comparative and Translational Medicine Program (CTMP) provides an integrated platform for preclinical and translational research and training for studies involving animals with natural disease. The CTMP is comprised of three major components: involving animals with natural disease. It is comprised of three major components:</w:t>
      </w:r>
    </w:p>
    <w:p w14:paraId="53FAFD7F" w14:textId="77777777" w:rsidR="00C26A26" w:rsidRPr="006346EC" w:rsidRDefault="00C26A26" w:rsidP="00C26A26">
      <w:pPr>
        <w:pStyle w:val="ListParagraph"/>
        <w:numPr>
          <w:ilvl w:val="0"/>
          <w:numId w:val="35"/>
        </w:numPr>
        <w:rPr>
          <w:rFonts w:ascii="Arial" w:hAnsi="Arial" w:cs="Arial"/>
          <w:color w:val="000000" w:themeColor="text1"/>
          <w:sz w:val="22"/>
          <w:szCs w:val="22"/>
          <w:u w:val="single"/>
        </w:rPr>
      </w:pPr>
      <w:r w:rsidRPr="006346EC">
        <w:rPr>
          <w:rFonts w:ascii="Arial" w:hAnsi="Arial" w:cs="Arial"/>
          <w:color w:val="000000" w:themeColor="text1"/>
          <w:sz w:val="22"/>
          <w:szCs w:val="22"/>
          <w:u w:val="single"/>
        </w:rPr>
        <w:t>Blue Buffalo Veterinary Clinical Trials Office</w:t>
      </w:r>
    </w:p>
    <w:p w14:paraId="5EDBD757" w14:textId="77777777" w:rsidR="00C26A26" w:rsidRPr="006346EC" w:rsidRDefault="00C26A26" w:rsidP="00C26A26">
      <w:pPr>
        <w:pStyle w:val="ListParagraph"/>
        <w:numPr>
          <w:ilvl w:val="1"/>
          <w:numId w:val="35"/>
        </w:numPr>
        <w:rPr>
          <w:rFonts w:ascii="Arial" w:hAnsi="Arial" w:cs="Arial"/>
          <w:color w:val="000000" w:themeColor="text1"/>
          <w:sz w:val="22"/>
          <w:szCs w:val="22"/>
        </w:rPr>
      </w:pPr>
      <w:r w:rsidRPr="006346EC">
        <w:rPr>
          <w:rFonts w:ascii="Arial" w:hAnsi="Arial" w:cs="Arial"/>
          <w:color w:val="000000" w:themeColor="text1"/>
          <w:sz w:val="22"/>
          <w:szCs w:val="22"/>
        </w:rPr>
        <w:t>The Blue Buffalo Veterinary Clinical Trials Office (BBVCTO) aids in the design, execution and evaluation of veterinary clinical trials of client-owned animals. The BBVCTO facilitates the conduct of such studies through input into clinical trial design, networking with regional veterinarians to ensure timely enrollment, assistance in collection and coordination of data and establishment of standard operating procedures.</w:t>
      </w:r>
    </w:p>
    <w:p w14:paraId="32E10C28" w14:textId="77777777" w:rsidR="00C26A26" w:rsidRPr="006346EC" w:rsidRDefault="00C26A26" w:rsidP="00C26A26">
      <w:pPr>
        <w:pStyle w:val="ListParagraph"/>
        <w:numPr>
          <w:ilvl w:val="0"/>
          <w:numId w:val="35"/>
        </w:numPr>
        <w:rPr>
          <w:rFonts w:ascii="Arial" w:hAnsi="Arial" w:cs="Arial"/>
          <w:color w:val="000000" w:themeColor="text1"/>
          <w:sz w:val="22"/>
          <w:szCs w:val="22"/>
          <w:u w:val="single"/>
        </w:rPr>
      </w:pPr>
      <w:r w:rsidRPr="006346EC">
        <w:rPr>
          <w:rFonts w:ascii="Arial" w:hAnsi="Arial" w:cs="Arial"/>
          <w:color w:val="000000" w:themeColor="text1"/>
          <w:sz w:val="22"/>
          <w:szCs w:val="22"/>
          <w:u w:val="single"/>
        </w:rPr>
        <w:t>Veterinary Biospecimen Repository</w:t>
      </w:r>
    </w:p>
    <w:p w14:paraId="7E9C356A" w14:textId="77777777" w:rsidR="00C26A26" w:rsidRPr="006346EC" w:rsidRDefault="00C26A26" w:rsidP="00C26A26">
      <w:pPr>
        <w:pStyle w:val="ListParagraph"/>
        <w:numPr>
          <w:ilvl w:val="1"/>
          <w:numId w:val="35"/>
        </w:numPr>
        <w:rPr>
          <w:rFonts w:ascii="Arial" w:hAnsi="Arial" w:cs="Arial"/>
          <w:color w:val="000000" w:themeColor="text1"/>
          <w:sz w:val="22"/>
          <w:szCs w:val="22"/>
        </w:rPr>
      </w:pPr>
      <w:r w:rsidRPr="006346EC">
        <w:rPr>
          <w:rFonts w:ascii="Arial" w:hAnsi="Arial" w:cs="Arial"/>
          <w:color w:val="000000" w:themeColor="text1"/>
          <w:sz w:val="22"/>
          <w:szCs w:val="22"/>
        </w:rPr>
        <w:t>The Veterinary Biospecimen Repository (VBR) collects and stores tissue specimens from diseased animals and data warehouse on disease diagnosis, pathology, treatments and other clinical outcomes. The VBR represents a remarkable resource that continues to assist investigators as they strive to develop new prevention and treatment strategies for both animals and humans.</w:t>
      </w:r>
    </w:p>
    <w:p w14:paraId="49BA305F" w14:textId="77777777" w:rsidR="00C26A26" w:rsidRPr="006346EC" w:rsidRDefault="00C26A26" w:rsidP="00C26A26">
      <w:pPr>
        <w:pStyle w:val="ListParagraph"/>
        <w:numPr>
          <w:ilvl w:val="0"/>
          <w:numId w:val="35"/>
        </w:numPr>
        <w:rPr>
          <w:rFonts w:ascii="Arial" w:hAnsi="Arial" w:cs="Arial"/>
          <w:color w:val="000000" w:themeColor="text1"/>
          <w:sz w:val="22"/>
          <w:szCs w:val="22"/>
          <w:u w:val="single"/>
        </w:rPr>
      </w:pPr>
      <w:r w:rsidRPr="006346EC">
        <w:rPr>
          <w:rFonts w:ascii="Arial" w:hAnsi="Arial" w:cs="Arial"/>
          <w:color w:val="000000" w:themeColor="text1"/>
          <w:sz w:val="22"/>
          <w:szCs w:val="22"/>
        </w:rPr>
        <w:t xml:space="preserve"> </w:t>
      </w:r>
      <w:r w:rsidRPr="006346EC">
        <w:rPr>
          <w:rFonts w:ascii="Arial" w:hAnsi="Arial" w:cs="Arial"/>
          <w:color w:val="000000" w:themeColor="text1"/>
          <w:sz w:val="22"/>
          <w:szCs w:val="22"/>
          <w:u w:val="single"/>
        </w:rPr>
        <w:t>Comparative Pathology and Mouse Phenotyping</w:t>
      </w:r>
    </w:p>
    <w:p w14:paraId="06DE98F0" w14:textId="77777777" w:rsidR="00C26A26" w:rsidRPr="006346EC" w:rsidRDefault="00C26A26" w:rsidP="00C26A26">
      <w:pPr>
        <w:pStyle w:val="ListParagraph"/>
        <w:numPr>
          <w:ilvl w:val="1"/>
          <w:numId w:val="35"/>
        </w:numPr>
        <w:rPr>
          <w:rFonts w:ascii="Arial" w:hAnsi="Arial" w:cs="Arial"/>
          <w:color w:val="000000" w:themeColor="text1"/>
          <w:sz w:val="22"/>
          <w:szCs w:val="22"/>
        </w:rPr>
      </w:pPr>
      <w:r w:rsidRPr="006346EC">
        <w:rPr>
          <w:rFonts w:ascii="Arial" w:hAnsi="Arial" w:cs="Arial"/>
          <w:color w:val="000000" w:themeColor="text1"/>
          <w:sz w:val="22"/>
          <w:szCs w:val="22"/>
        </w:rPr>
        <w:t>The Comparative Pathology and Mouse Phenotyping Shared Resource and the Histology and Immunohistochemistry service have merged into a single unit within the Department of Veterinary Biosciences (VBS). While intrinsically involved with the teaching and education missions of VBS, the combined service now offers anatomic pathology (necropsy, phenotyping, biopsy and slide evaluation), clinical pathology and histology (including immunohistochemistry and tissue microarrays) support to researchers both within the College of Veterinary Medicine as well as throughout The Ohio State University, including Nationwide Children’s Hospital.</w:t>
      </w:r>
    </w:p>
    <w:p w14:paraId="249DDC4C" w14:textId="77777777" w:rsidR="00C26A26" w:rsidRPr="006346EC" w:rsidRDefault="00C26A26" w:rsidP="00C26A26">
      <w:pPr>
        <w:rPr>
          <w:rFonts w:ascii="Arial" w:hAnsi="Arial" w:cs="Arial"/>
          <w:color w:val="000000" w:themeColor="text1"/>
          <w:sz w:val="22"/>
          <w:szCs w:val="22"/>
        </w:rPr>
      </w:pPr>
    </w:p>
    <w:p w14:paraId="5719106C" w14:textId="77777777" w:rsidR="00C26A26" w:rsidRPr="006346EC" w:rsidRDefault="00C26A26" w:rsidP="00C26A26">
      <w:pPr>
        <w:rPr>
          <w:rFonts w:ascii="Arial" w:hAnsi="Arial" w:cs="Arial"/>
          <w:b/>
          <w:bCs/>
          <w:color w:val="000000" w:themeColor="text1"/>
          <w:sz w:val="22"/>
          <w:szCs w:val="22"/>
          <w:u w:val="single"/>
        </w:rPr>
      </w:pPr>
      <w:r w:rsidRPr="006346EC">
        <w:rPr>
          <w:rFonts w:ascii="Arial" w:hAnsi="Arial" w:cs="Arial"/>
          <w:b/>
          <w:bCs/>
          <w:color w:val="000000" w:themeColor="text1"/>
          <w:sz w:val="22"/>
          <w:szCs w:val="22"/>
          <w:u w:val="single"/>
        </w:rPr>
        <w:t>Foods for Health (FFH)</w:t>
      </w:r>
    </w:p>
    <w:p w14:paraId="7797DDA4" w14:textId="77777777" w:rsidR="00C26A26" w:rsidRPr="006346EC" w:rsidRDefault="00C26A26" w:rsidP="00C26A26">
      <w:pPr>
        <w:rPr>
          <w:rFonts w:ascii="Arial" w:hAnsi="Arial" w:cs="Arial"/>
          <w:color w:val="000000" w:themeColor="text1"/>
          <w:sz w:val="22"/>
          <w:szCs w:val="22"/>
        </w:rPr>
      </w:pPr>
      <w:r w:rsidRPr="006346EC">
        <w:rPr>
          <w:rFonts w:ascii="Arial" w:hAnsi="Arial" w:cs="Arial"/>
          <w:color w:val="000000" w:themeColor="text1"/>
          <w:sz w:val="22"/>
          <w:szCs w:val="22"/>
        </w:rPr>
        <w:t xml:space="preserve">The goal of the Foods for Health (FFH) initiative is to advance interdisciplinary research that defines the relationship among foods, disease prevention and health promotion. The future of food is one where nutritional </w:t>
      </w:r>
      <w:proofErr w:type="gramStart"/>
      <w:r w:rsidRPr="006346EC">
        <w:rPr>
          <w:rFonts w:ascii="Arial" w:hAnsi="Arial" w:cs="Arial"/>
          <w:color w:val="000000" w:themeColor="text1"/>
          <w:sz w:val="22"/>
          <w:szCs w:val="22"/>
        </w:rPr>
        <w:t>recommendations</w:t>
      </w:r>
      <w:proofErr w:type="gramEnd"/>
      <w:r w:rsidRPr="006346EC">
        <w:rPr>
          <w:rFonts w:ascii="Arial" w:hAnsi="Arial" w:cs="Arial"/>
          <w:color w:val="000000" w:themeColor="text1"/>
          <w:sz w:val="22"/>
          <w:szCs w:val="22"/>
        </w:rPr>
        <w:t xml:space="preserve"> are precise and eating healthy is easier. Solutions that help us achieve this goal will come from all disciplines, and Ohio State continues to be optimally positioned for innovative research. Our </w:t>
      </w:r>
      <w:r w:rsidRPr="006346EC">
        <w:rPr>
          <w:rFonts w:ascii="Arial" w:hAnsi="Arial" w:cs="Arial"/>
          <w:color w:val="000000" w:themeColor="text1"/>
          <w:sz w:val="22"/>
          <w:szCs w:val="22"/>
        </w:rPr>
        <w:lastRenderedPageBreak/>
        <w:t>community is empowered by an expansive campus that uniquely co-locates Colleges of Food, Agricultural and Environmental Sciences, Education and Human Ecology, Arts and Sciences, seven Health Sciences colleges, a top-ranked academic Medical Center and a Comprehensive Cancer Center. FFH researchers work collaboratively to discover new ways in which foods can enhance health.</w:t>
      </w:r>
    </w:p>
    <w:p w14:paraId="181ED7B0" w14:textId="77777777" w:rsidR="00C26A26" w:rsidRPr="006346EC" w:rsidRDefault="00C26A26" w:rsidP="00C26A26">
      <w:pPr>
        <w:rPr>
          <w:rFonts w:ascii="Arial" w:hAnsi="Arial" w:cs="Arial"/>
          <w:color w:val="000000" w:themeColor="text1"/>
          <w:sz w:val="22"/>
          <w:szCs w:val="22"/>
        </w:rPr>
      </w:pPr>
    </w:p>
    <w:p w14:paraId="72453F32" w14:textId="77777777" w:rsidR="00C26A26" w:rsidRPr="006346EC" w:rsidRDefault="00C26A26" w:rsidP="00C26A26">
      <w:pPr>
        <w:rPr>
          <w:rFonts w:ascii="Arial" w:hAnsi="Arial" w:cs="Arial"/>
          <w:b/>
          <w:bCs/>
          <w:color w:val="000000" w:themeColor="text1"/>
          <w:sz w:val="22"/>
          <w:szCs w:val="22"/>
          <w:u w:val="single"/>
        </w:rPr>
      </w:pPr>
      <w:r w:rsidRPr="006346EC">
        <w:rPr>
          <w:rFonts w:ascii="Arial" w:hAnsi="Arial" w:cs="Arial"/>
          <w:b/>
          <w:bCs/>
          <w:color w:val="000000" w:themeColor="text1"/>
          <w:sz w:val="22"/>
          <w:szCs w:val="22"/>
          <w:u w:val="single"/>
        </w:rPr>
        <w:t>Institute for Behavioral Medicine Research</w:t>
      </w:r>
    </w:p>
    <w:p w14:paraId="65964D35" w14:textId="77777777" w:rsidR="00C26A26" w:rsidRPr="006346EC" w:rsidRDefault="00C26A26" w:rsidP="00C26A26">
      <w:pPr>
        <w:rPr>
          <w:rFonts w:ascii="Arial" w:hAnsi="Arial" w:cs="Arial"/>
          <w:color w:val="000000" w:themeColor="text1"/>
          <w:sz w:val="22"/>
          <w:szCs w:val="22"/>
        </w:rPr>
      </w:pPr>
      <w:r w:rsidRPr="006346EC">
        <w:rPr>
          <w:rFonts w:ascii="Arial" w:hAnsi="Arial" w:cs="Arial"/>
          <w:color w:val="000000" w:themeColor="text1"/>
          <w:sz w:val="22"/>
          <w:szCs w:val="22"/>
        </w:rPr>
        <w:t>Established in 1996, the Institute for Behavioral Medicine Research (IBMR) is the cornerstone of a broad research program at The Ohio State University in the field of psychoneuroimmunology (PNI) – the study of how the brain interacts with the body's immune system. This field has evolved from a novel area of curiosity to an important scientific field, one that has meaningful implications for public health and great promise for enhancing medical treatments.</w:t>
      </w:r>
    </w:p>
    <w:p w14:paraId="521CE79C" w14:textId="77777777" w:rsidR="00C26A26" w:rsidRPr="006346EC" w:rsidRDefault="00C26A26" w:rsidP="00C26A26">
      <w:pPr>
        <w:rPr>
          <w:rFonts w:ascii="Arial" w:hAnsi="Arial" w:cs="Arial"/>
          <w:color w:val="000000" w:themeColor="text1"/>
          <w:sz w:val="22"/>
          <w:szCs w:val="22"/>
        </w:rPr>
      </w:pPr>
    </w:p>
    <w:p w14:paraId="39EE2117" w14:textId="77777777" w:rsidR="00C26A26" w:rsidRPr="006346EC" w:rsidRDefault="00C26A26" w:rsidP="00C26A26">
      <w:pPr>
        <w:rPr>
          <w:rFonts w:ascii="Arial" w:hAnsi="Arial" w:cs="Arial"/>
          <w:b/>
          <w:bCs/>
          <w:color w:val="000000" w:themeColor="text1"/>
          <w:sz w:val="22"/>
          <w:szCs w:val="22"/>
          <w:u w:val="single"/>
        </w:rPr>
      </w:pPr>
      <w:r w:rsidRPr="006346EC">
        <w:rPr>
          <w:rFonts w:ascii="Arial" w:hAnsi="Arial" w:cs="Arial"/>
          <w:b/>
          <w:bCs/>
          <w:color w:val="000000" w:themeColor="text1"/>
          <w:sz w:val="22"/>
          <w:szCs w:val="22"/>
          <w:u w:val="single"/>
        </w:rPr>
        <w:t>Institute for Materials and Manufacturing Research</w:t>
      </w:r>
    </w:p>
    <w:p w14:paraId="7F784BE3" w14:textId="77777777" w:rsidR="00C26A26" w:rsidRPr="006346EC" w:rsidRDefault="00C26A26" w:rsidP="00C26A26">
      <w:pPr>
        <w:rPr>
          <w:rFonts w:ascii="Arial" w:hAnsi="Arial" w:cs="Arial"/>
          <w:color w:val="000000" w:themeColor="text1"/>
          <w:sz w:val="22"/>
          <w:szCs w:val="22"/>
        </w:rPr>
      </w:pPr>
      <w:r w:rsidRPr="006346EC">
        <w:rPr>
          <w:rFonts w:ascii="Arial" w:hAnsi="Arial" w:cs="Arial"/>
          <w:color w:val="000000" w:themeColor="text1"/>
          <w:sz w:val="22"/>
          <w:szCs w:val="22"/>
        </w:rPr>
        <w:t>The Institute for Materials and Manufacturing Research (IMR) was established in 2006 with a central goal: to guide Ohio State’s materials and manufacturing-allied research enterprise to be among the very best in the nation, impacting the forefront of materials and manufacturing research, winning the most competitive and prestigious research programs and centers and enabling the attraction of top talent in areas that exploit the multi-college breadth of the university. IMR brings together a large and interdisciplinary community consisting of more than 265 faculty members from 40 departments and 10 colleges who are actively engaged in research and innovation across the materials continuum. It has supported efforts for receiving large awards from NSF, DoD and other Federal sources and has led research and educational partnerships with industry partners. IMR signature research areas span from semiconductors and advanced energy to emergent materials, AI-enabled manufacturing and biomedical research applications.</w:t>
      </w:r>
    </w:p>
    <w:p w14:paraId="4504502E" w14:textId="77777777" w:rsidR="00C26A26" w:rsidRPr="006346EC" w:rsidRDefault="00C26A26" w:rsidP="00C26A26">
      <w:pPr>
        <w:rPr>
          <w:rFonts w:ascii="Arial" w:hAnsi="Arial" w:cs="Arial"/>
          <w:color w:val="000000" w:themeColor="text1"/>
          <w:sz w:val="22"/>
          <w:szCs w:val="22"/>
        </w:rPr>
      </w:pPr>
    </w:p>
    <w:p w14:paraId="5184D332" w14:textId="77777777" w:rsidR="00C26A26" w:rsidRPr="006346EC" w:rsidRDefault="00C26A26" w:rsidP="00C26A26">
      <w:pPr>
        <w:rPr>
          <w:rFonts w:ascii="Arial" w:hAnsi="Arial" w:cs="Arial"/>
          <w:b/>
          <w:bCs/>
          <w:color w:val="000000" w:themeColor="text1"/>
          <w:sz w:val="22"/>
          <w:szCs w:val="22"/>
          <w:u w:val="single"/>
        </w:rPr>
      </w:pPr>
      <w:r w:rsidRPr="006346EC">
        <w:rPr>
          <w:rFonts w:ascii="Arial" w:hAnsi="Arial" w:cs="Arial"/>
          <w:b/>
          <w:bCs/>
          <w:color w:val="000000" w:themeColor="text1"/>
          <w:sz w:val="22"/>
          <w:szCs w:val="22"/>
          <w:u w:val="single"/>
        </w:rPr>
        <w:t>Institute for Population Research (IPR)</w:t>
      </w:r>
    </w:p>
    <w:p w14:paraId="6FA700E0" w14:textId="77777777" w:rsidR="00C26A26" w:rsidRDefault="00C26A26" w:rsidP="00C26A26">
      <w:pPr>
        <w:rPr>
          <w:rFonts w:ascii="Arial" w:hAnsi="Arial" w:cs="Arial"/>
          <w:color w:val="000000" w:themeColor="text1"/>
          <w:sz w:val="22"/>
          <w:szCs w:val="22"/>
        </w:rPr>
      </w:pPr>
      <w:r w:rsidRPr="006346EC">
        <w:rPr>
          <w:rFonts w:ascii="Arial" w:hAnsi="Arial" w:cs="Arial"/>
          <w:color w:val="000000" w:themeColor="text1"/>
          <w:sz w:val="22"/>
          <w:szCs w:val="22"/>
        </w:rPr>
        <w:t>The Institute for Population Research (IPR) was established in 2000 as a multi-disciplinary research center that nurtures population and health research at Ohio State. IPR supports research in all facets of population and health. IPR faculty and graduate student affiliates span six colleges and sixteen departments, and IPR serves as a bridge between behavioral and biomedical scientists at Ohio State. Through its Geographic Core, IPR offers advice on incorporating geographic analysis in population and health research projects. Working groups are an opportunity for a small set of IPR affiliates to explore research areas that are of great significance and/or newly emerging. Recent working groups have been organized for health disparities, geographic analysis of health and complex systems analysis. IPR occupies a 6000 sq. ft. suite of offices in Ohio State’s Townshend Hall, comprising several faculty affiliate offices, a dedicated seminar room, a graduate student suite and space for hosting research projects, including those requiring special consideration for restricted or sensitive data.</w:t>
      </w:r>
    </w:p>
    <w:p w14:paraId="74D977CD" w14:textId="77777777" w:rsidR="00C26A26" w:rsidRDefault="00C26A26" w:rsidP="00C26A26">
      <w:pPr>
        <w:rPr>
          <w:rFonts w:ascii="Arial" w:hAnsi="Arial" w:cs="Arial"/>
          <w:color w:val="000000" w:themeColor="text1"/>
          <w:sz w:val="22"/>
          <w:szCs w:val="22"/>
        </w:rPr>
      </w:pPr>
    </w:p>
    <w:p w14:paraId="55D5D900" w14:textId="77777777" w:rsidR="00C26A26" w:rsidRPr="006346EC" w:rsidRDefault="00C26A26" w:rsidP="00C26A26">
      <w:pPr>
        <w:tabs>
          <w:tab w:val="left" w:pos="521"/>
        </w:tabs>
        <w:rPr>
          <w:rFonts w:ascii="Arial" w:hAnsi="Arial" w:cs="Arial"/>
          <w:b/>
          <w:bCs/>
          <w:color w:val="000000" w:themeColor="text1"/>
          <w:sz w:val="22"/>
          <w:szCs w:val="22"/>
          <w:u w:val="single"/>
        </w:rPr>
      </w:pPr>
      <w:r w:rsidRPr="006346EC">
        <w:rPr>
          <w:rFonts w:ascii="Arial" w:hAnsi="Arial" w:cs="Arial"/>
          <w:b/>
          <w:bCs/>
          <w:color w:val="000000" w:themeColor="text1"/>
          <w:sz w:val="22"/>
          <w:szCs w:val="22"/>
          <w:u w:val="single"/>
        </w:rPr>
        <w:t>Keenan Center for Entrepreneurship</w:t>
      </w:r>
    </w:p>
    <w:p w14:paraId="07F2B3A3" w14:textId="77777777" w:rsidR="00C26A26" w:rsidRDefault="00C26A26" w:rsidP="00C26A26">
      <w:pPr>
        <w:rPr>
          <w:rFonts w:ascii="Arial" w:hAnsi="Arial" w:cs="Arial"/>
          <w:color w:val="000000" w:themeColor="text1"/>
          <w:sz w:val="22"/>
          <w:szCs w:val="22"/>
        </w:rPr>
      </w:pPr>
      <w:r w:rsidRPr="006346EC">
        <w:rPr>
          <w:rFonts w:ascii="Arial" w:hAnsi="Arial" w:cs="Arial"/>
          <w:color w:val="000000" w:themeColor="text1"/>
          <w:sz w:val="22"/>
          <w:szCs w:val="22"/>
        </w:rPr>
        <w:t>The mission of the Keenan Center for Entrepreneurship is to inspire, engage and empower entrepreneurs in their endeavors to change the world. We do this by providing educational and experiential learning activities, supporting curiosity and exploration and building connections and community. Keenan Center training opportunities include a local NSF I-Corps program which provides a process to help scientists and researchers explore the market opportunity of their research. Contact the Keenan Center to learn how these learning opportunities can be tailored to fulfill commercialization and entrepreneurial development components of grant proposals.</w:t>
      </w:r>
    </w:p>
    <w:p w14:paraId="04E23781" w14:textId="77777777" w:rsidR="00C26A26" w:rsidRPr="006346EC" w:rsidRDefault="00C26A26" w:rsidP="00C26A26">
      <w:pPr>
        <w:rPr>
          <w:rFonts w:ascii="Arial" w:hAnsi="Arial" w:cs="Arial"/>
          <w:color w:val="000000" w:themeColor="text1"/>
          <w:sz w:val="22"/>
          <w:szCs w:val="22"/>
        </w:rPr>
      </w:pPr>
    </w:p>
    <w:p w14:paraId="757807AF" w14:textId="77777777" w:rsidR="00C26A26" w:rsidRPr="006346EC" w:rsidRDefault="00C26A26" w:rsidP="00C26A26">
      <w:pPr>
        <w:rPr>
          <w:rFonts w:ascii="Arial" w:hAnsi="Arial" w:cs="Arial"/>
          <w:b/>
          <w:bCs/>
          <w:color w:val="000000" w:themeColor="text1"/>
          <w:sz w:val="22"/>
          <w:szCs w:val="22"/>
          <w:u w:val="single"/>
        </w:rPr>
      </w:pPr>
      <w:r w:rsidRPr="006346EC">
        <w:rPr>
          <w:rFonts w:ascii="Arial" w:hAnsi="Arial" w:cs="Arial"/>
          <w:b/>
          <w:bCs/>
          <w:color w:val="000000" w:themeColor="text1"/>
          <w:sz w:val="22"/>
          <w:szCs w:val="22"/>
          <w:u w:val="single"/>
        </w:rPr>
        <w:t xml:space="preserve">Kirwan Institute </w:t>
      </w:r>
    </w:p>
    <w:p w14:paraId="18CBAAC7" w14:textId="77777777" w:rsidR="00C26A26" w:rsidRDefault="00C26A26" w:rsidP="00C26A26">
      <w:pPr>
        <w:rPr>
          <w:rFonts w:ascii="Arial" w:hAnsi="Arial" w:cs="Arial"/>
          <w:color w:val="000000" w:themeColor="text1"/>
          <w:sz w:val="22"/>
          <w:szCs w:val="22"/>
        </w:rPr>
      </w:pPr>
      <w:r w:rsidRPr="006346EC">
        <w:rPr>
          <w:rFonts w:ascii="Arial" w:hAnsi="Arial" w:cs="Arial"/>
          <w:color w:val="000000" w:themeColor="text1"/>
          <w:sz w:val="22"/>
          <w:szCs w:val="22"/>
        </w:rPr>
        <w:t xml:space="preserve">The Kirwan Institute is a nationally recognized research center with a 21-year record of impact. </w:t>
      </w:r>
      <w:r w:rsidRPr="006346EC">
        <w:rPr>
          <w:rFonts w:ascii="Arial" w:hAnsi="Arial" w:cs="Arial"/>
          <w:color w:val="000000" w:themeColor="text1"/>
          <w:sz w:val="22"/>
          <w:szCs w:val="22"/>
          <w:shd w:val="clear" w:color="auto" w:fill="FFFFFF"/>
        </w:rPr>
        <w:t>Their goal is to connect individuals and communities with opportunities needed for thriving by educating the public, building the capacity of allied social justice organizations, and investing in efforts that support all. This is done through research, engagement, and communication.</w:t>
      </w:r>
      <w:r w:rsidRPr="006346EC">
        <w:rPr>
          <w:rFonts w:ascii="Arial" w:hAnsi="Arial" w:cs="Arial"/>
          <w:color w:val="000000" w:themeColor="text1"/>
          <w:sz w:val="22"/>
          <w:szCs w:val="22"/>
        </w:rPr>
        <w:t xml:space="preserve"> We specialize in pairing data-informed analysis and community engagement to diagnose the structural conditions that drive unjustness as well as identify strategic intervention points for advocacy and policy. To date Kirwan has collaborated with policy makers in over 400 jurisdictions across the U. S. and worked with national and community-based partners to create innovative policy that effects change through applied research and strategy development. Our expertise crosses multiple domains of interest – poverty, maternal and infant health, education, criminal justice and housing. Community engagement </w:t>
      </w:r>
      <w:r w:rsidRPr="006346EC">
        <w:rPr>
          <w:rFonts w:ascii="Arial" w:hAnsi="Arial" w:cs="Arial"/>
          <w:color w:val="000000" w:themeColor="text1"/>
          <w:sz w:val="22"/>
          <w:szCs w:val="22"/>
        </w:rPr>
        <w:lastRenderedPageBreak/>
        <w:t>is a critical component of the Kirwan research process. The Kirwan Institute remains a trusted community and university partner on a range of initiatives, from revitalization to data-driven assessments for community-led change. Join us in fostering equitable research that empowers communities and drives actionable solutions for a better future.</w:t>
      </w:r>
    </w:p>
    <w:p w14:paraId="586364D7" w14:textId="77777777" w:rsidR="00C26A26" w:rsidRPr="006346EC" w:rsidRDefault="00C26A26" w:rsidP="00C26A26">
      <w:pPr>
        <w:rPr>
          <w:rFonts w:ascii="Arial" w:hAnsi="Arial" w:cs="Arial"/>
          <w:color w:val="000000" w:themeColor="text1"/>
          <w:sz w:val="22"/>
          <w:szCs w:val="22"/>
        </w:rPr>
      </w:pPr>
    </w:p>
    <w:p w14:paraId="7820700F" w14:textId="77777777" w:rsidR="00C26A26" w:rsidRPr="006346EC" w:rsidRDefault="00C26A26" w:rsidP="00C26A26">
      <w:pPr>
        <w:rPr>
          <w:rFonts w:ascii="Arial" w:hAnsi="Arial" w:cs="Arial"/>
          <w:b/>
          <w:bCs/>
          <w:color w:val="000000" w:themeColor="text1"/>
          <w:sz w:val="22"/>
          <w:szCs w:val="22"/>
          <w:u w:val="single"/>
        </w:rPr>
      </w:pPr>
      <w:r w:rsidRPr="006346EC">
        <w:rPr>
          <w:rFonts w:ascii="Arial" w:hAnsi="Arial" w:cs="Arial"/>
          <w:b/>
          <w:bCs/>
          <w:color w:val="000000" w:themeColor="text1"/>
          <w:sz w:val="22"/>
          <w:szCs w:val="22"/>
          <w:u w:val="single"/>
        </w:rPr>
        <w:t>Medical Modeling, Materials and Manufacturing (M4) Division</w:t>
      </w:r>
    </w:p>
    <w:p w14:paraId="0F77D521" w14:textId="77777777" w:rsidR="00C26A26" w:rsidRPr="006346EC" w:rsidRDefault="00C26A26" w:rsidP="00C26A26">
      <w:pPr>
        <w:rPr>
          <w:rFonts w:ascii="Arial" w:eastAsia="+mn-ea" w:hAnsi="Arial" w:cs="Arial"/>
          <w:color w:val="000000" w:themeColor="text1"/>
          <w:kern w:val="24"/>
          <w:sz w:val="22"/>
          <w:szCs w:val="22"/>
        </w:rPr>
      </w:pPr>
      <w:r w:rsidRPr="006346EC">
        <w:rPr>
          <w:rFonts w:ascii="Arial" w:hAnsi="Arial" w:cs="Arial"/>
          <w:color w:val="000000" w:themeColor="text1"/>
          <w:sz w:val="22"/>
          <w:szCs w:val="22"/>
        </w:rPr>
        <w:t xml:space="preserve">The M4 Division at the Center for Design and Manufacturing Excellence (CDME) is where medicine and advanced manufacturing converge to develop engineering solutions for real-world needs in clinical medicine. </w:t>
      </w:r>
      <w:r w:rsidRPr="006346EC">
        <w:rPr>
          <w:rFonts w:ascii="Arial" w:eastAsia="+mn-ea" w:hAnsi="Arial" w:cs="Arial"/>
          <w:color w:val="000000" w:themeColor="text1"/>
          <w:kern w:val="24"/>
          <w:sz w:val="22"/>
          <w:szCs w:val="22"/>
        </w:rPr>
        <w:t>The M4 Division works with collaborators to develop and de-risk biomedical research and medical device development through user requirements definition, concept generation, design and prototyping for engineering testing and clinical trials. The M4 Division leverages 45,000 square feet of ITAR and HIPAA compliant facilities, over $20M in manufacturing equipment and the technical expertise of the six other divisions across CDME to best advance biomedical technology.</w:t>
      </w:r>
    </w:p>
    <w:p w14:paraId="03381933" w14:textId="77777777" w:rsidR="00C26A26" w:rsidRPr="006346EC" w:rsidRDefault="00C26A26" w:rsidP="00C26A26">
      <w:pPr>
        <w:rPr>
          <w:rFonts w:ascii="Arial" w:hAnsi="Arial" w:cs="Arial"/>
          <w:color w:val="000000" w:themeColor="text1"/>
          <w:sz w:val="22"/>
          <w:szCs w:val="22"/>
        </w:rPr>
      </w:pPr>
    </w:p>
    <w:p w14:paraId="1A2B7493" w14:textId="77777777" w:rsidR="00C26A26" w:rsidRPr="006346EC" w:rsidRDefault="00C26A26" w:rsidP="00C26A26">
      <w:pPr>
        <w:rPr>
          <w:rFonts w:ascii="Arial" w:hAnsi="Arial" w:cs="Arial"/>
          <w:b/>
          <w:bCs/>
          <w:color w:val="000000" w:themeColor="text1"/>
          <w:sz w:val="22"/>
          <w:szCs w:val="22"/>
          <w:u w:val="single"/>
        </w:rPr>
      </w:pPr>
      <w:r w:rsidRPr="006346EC">
        <w:rPr>
          <w:rFonts w:ascii="Arial" w:hAnsi="Arial" w:cs="Arial"/>
          <w:b/>
          <w:bCs/>
          <w:color w:val="000000" w:themeColor="text1"/>
          <w:sz w:val="22"/>
          <w:szCs w:val="22"/>
          <w:u w:val="single"/>
        </w:rPr>
        <w:t>Ohio State Biomedical Animal Care and Use Program</w:t>
      </w:r>
    </w:p>
    <w:p w14:paraId="1023E3FB" w14:textId="77777777" w:rsidR="00C26A26" w:rsidRDefault="00C26A26" w:rsidP="00C26A26">
      <w:pPr>
        <w:rPr>
          <w:rFonts w:ascii="Arial" w:hAnsi="Arial" w:cs="Arial"/>
          <w:color w:val="000000" w:themeColor="text1"/>
          <w:sz w:val="22"/>
          <w:szCs w:val="22"/>
        </w:rPr>
      </w:pPr>
      <w:r w:rsidRPr="006346EC">
        <w:rPr>
          <w:rFonts w:ascii="Arial" w:hAnsi="Arial" w:cs="Arial"/>
          <w:color w:val="000000" w:themeColor="text1"/>
          <w:sz w:val="22"/>
          <w:szCs w:val="22"/>
        </w:rPr>
        <w:t xml:space="preserve">Ohio State’s biomedical animal care and use program maintains federal registration and assurance with regulatory agencies and is accredited by AAALAC International. The University Laboratory Animal Resources (ULAR) supports 11 colleges, 7 schools and the Graduate School in 18 separate animal facilities. ULAR has 6 veterinarians boarded by the American College of Laboratory Animal Medicine (ACLAM) and 65 employees of which 75% are either certified by the American Association of Laboratory Animal Science (AALAS) or registered Animal Health Technicians by the State of Ohio. The </w:t>
      </w:r>
      <w:r>
        <w:rPr>
          <w:rFonts w:ascii="Arial" w:hAnsi="Arial" w:cs="Arial"/>
          <w:color w:val="000000" w:themeColor="text1"/>
          <w:sz w:val="22"/>
          <w:szCs w:val="22"/>
        </w:rPr>
        <w:t>Ohio State</w:t>
      </w:r>
      <w:r w:rsidRPr="006346EC">
        <w:rPr>
          <w:rFonts w:ascii="Arial" w:hAnsi="Arial" w:cs="Arial"/>
          <w:color w:val="000000" w:themeColor="text1"/>
          <w:sz w:val="22"/>
          <w:szCs w:val="22"/>
        </w:rPr>
        <w:t xml:space="preserve"> Animal Care and Use Program and all animal faculties are AAALAC accredited (#028), registered by the USDA (#31R014) and have Assurances with the Office of Laboratory Animal Welfare, NIH (#A3261-01). The </w:t>
      </w:r>
      <w:r>
        <w:rPr>
          <w:rFonts w:ascii="Arial" w:hAnsi="Arial" w:cs="Arial"/>
          <w:color w:val="000000" w:themeColor="text1"/>
          <w:sz w:val="22"/>
          <w:szCs w:val="22"/>
        </w:rPr>
        <w:t>Ohio State</w:t>
      </w:r>
      <w:r w:rsidRPr="006346EC">
        <w:rPr>
          <w:rFonts w:ascii="Arial" w:hAnsi="Arial" w:cs="Arial"/>
          <w:color w:val="000000" w:themeColor="text1"/>
          <w:sz w:val="22"/>
          <w:szCs w:val="22"/>
        </w:rPr>
        <w:t xml:space="preserve"> Animal Care and Use Program encompasses all aspects of animal care to include: 1) supervision and monitoring of the humane care and use of animals in research and teaching; 2) veterinary care, emergency veterinary care and veterinary preventive medicine programs; 3) animal husbandry and sanitation; 4) occupational health programs for animal care personnel, faculty, research staff and graduate students; 5) environmental health and occupational health safety; 6) radiobiologic safety; 7) procurement and quarantine; 8) quality health assurance; 9) surveillance, diagnosis, treatment and control of disease.</w:t>
      </w:r>
    </w:p>
    <w:p w14:paraId="4BEDBD9E" w14:textId="77777777" w:rsidR="00C26A26" w:rsidRPr="006346EC" w:rsidRDefault="00C26A26" w:rsidP="00C26A26">
      <w:pPr>
        <w:rPr>
          <w:rFonts w:ascii="Arial" w:hAnsi="Arial" w:cs="Arial"/>
          <w:color w:val="000000" w:themeColor="text1"/>
          <w:sz w:val="22"/>
          <w:szCs w:val="22"/>
        </w:rPr>
      </w:pPr>
    </w:p>
    <w:p w14:paraId="7A904165" w14:textId="77777777" w:rsidR="00C26A26" w:rsidRPr="006346EC" w:rsidRDefault="00C26A26" w:rsidP="00C26A26">
      <w:pPr>
        <w:pStyle w:val="BodyText"/>
        <w:widowControl w:val="0"/>
        <w:spacing w:after="0"/>
        <w:rPr>
          <w:rFonts w:ascii="Arial" w:hAnsi="Arial" w:cs="Arial"/>
          <w:color w:val="000000" w:themeColor="text1"/>
          <w:sz w:val="22"/>
          <w:szCs w:val="22"/>
        </w:rPr>
      </w:pPr>
      <w:r w:rsidRPr="006346EC">
        <w:rPr>
          <w:rFonts w:ascii="Arial" w:hAnsi="Arial" w:cs="Arial"/>
          <w:color w:val="000000" w:themeColor="text1"/>
          <w:sz w:val="22"/>
          <w:szCs w:val="22"/>
        </w:rPr>
        <w:t>ULAR procedures follow guidelines established by The Guide for the Care and Use of Laboratory Animals. These procedures are outlined specifically in the form of Standard Operating Procedures (SOPs). These SOPs are reviewed and updated annually by a committee including at least one attending veterinarian, facility manager and animal caretaker. All new employees are given a set of SOPs for the facility in which they will be working, and trained according to these procedures. Record keeping is an important aspect of the animal care program and each caretaker is responsible for documenting his or her work. These reports are provided directly to the facility manager.</w:t>
      </w:r>
    </w:p>
    <w:p w14:paraId="0B29A838" w14:textId="77777777" w:rsidR="00C26A26" w:rsidRPr="006346EC" w:rsidRDefault="00C26A26" w:rsidP="00C26A26">
      <w:pPr>
        <w:rPr>
          <w:rFonts w:ascii="Arial" w:hAnsi="Arial" w:cs="Arial"/>
          <w:color w:val="000000" w:themeColor="text1"/>
          <w:sz w:val="22"/>
          <w:szCs w:val="22"/>
        </w:rPr>
      </w:pPr>
    </w:p>
    <w:p w14:paraId="58272ECE" w14:textId="77777777" w:rsidR="00C26A26" w:rsidRPr="006346EC" w:rsidRDefault="00C26A26" w:rsidP="00C26A26">
      <w:pPr>
        <w:rPr>
          <w:rFonts w:ascii="Arial" w:hAnsi="Arial" w:cs="Arial"/>
          <w:b/>
          <w:bCs/>
          <w:color w:val="000000" w:themeColor="text1"/>
          <w:sz w:val="22"/>
          <w:szCs w:val="22"/>
          <w:u w:val="single"/>
        </w:rPr>
      </w:pPr>
      <w:r w:rsidRPr="006346EC">
        <w:rPr>
          <w:rFonts w:ascii="Arial" w:hAnsi="Arial" w:cs="Arial"/>
          <w:b/>
          <w:bCs/>
          <w:color w:val="000000" w:themeColor="text1"/>
          <w:sz w:val="22"/>
          <w:szCs w:val="22"/>
          <w:u w:val="single"/>
        </w:rPr>
        <w:t>Ohio State Biochemistry and Molecular Biology Core</w:t>
      </w:r>
    </w:p>
    <w:p w14:paraId="723B7318" w14:textId="77777777" w:rsidR="00C26A26" w:rsidRPr="006346EC" w:rsidRDefault="00C26A26" w:rsidP="00C26A26">
      <w:pPr>
        <w:rPr>
          <w:rFonts w:ascii="Arial" w:hAnsi="Arial" w:cs="Arial"/>
          <w:color w:val="000000" w:themeColor="text1"/>
          <w:sz w:val="22"/>
          <w:szCs w:val="22"/>
        </w:rPr>
      </w:pPr>
      <w:r w:rsidRPr="006346EC">
        <w:rPr>
          <w:rFonts w:ascii="Arial" w:hAnsi="Arial" w:cs="Arial"/>
          <w:color w:val="000000" w:themeColor="text1"/>
          <w:sz w:val="22"/>
          <w:szCs w:val="22"/>
        </w:rPr>
        <w:t xml:space="preserve">The Biochemistry and Molecular Biology Core provides and maintains selected instrumentation and offers sufficient training to facilitate end-user operation. Major pieces of supported equipment include real-time PCR: Roche </w:t>
      </w:r>
      <w:proofErr w:type="spellStart"/>
      <w:r w:rsidRPr="006346EC">
        <w:rPr>
          <w:rFonts w:ascii="Arial" w:hAnsi="Arial" w:cs="Arial"/>
          <w:color w:val="000000" w:themeColor="text1"/>
          <w:sz w:val="22"/>
          <w:szCs w:val="22"/>
        </w:rPr>
        <w:t>Lightcycler</w:t>
      </w:r>
      <w:proofErr w:type="spellEnd"/>
      <w:r w:rsidRPr="006346EC">
        <w:rPr>
          <w:rFonts w:ascii="Arial" w:hAnsi="Arial" w:cs="Arial"/>
          <w:color w:val="000000" w:themeColor="text1"/>
          <w:sz w:val="22"/>
          <w:szCs w:val="22"/>
        </w:rPr>
        <w:t xml:space="preserve"> 480 and </w:t>
      </w:r>
      <w:proofErr w:type="spellStart"/>
      <w:r w:rsidRPr="006346EC">
        <w:rPr>
          <w:rFonts w:ascii="Arial" w:hAnsi="Arial" w:cs="Arial"/>
          <w:color w:val="000000" w:themeColor="text1"/>
          <w:sz w:val="22"/>
          <w:szCs w:val="22"/>
        </w:rPr>
        <w:t>Lightcycler</w:t>
      </w:r>
      <w:proofErr w:type="spellEnd"/>
      <w:r w:rsidRPr="006346EC">
        <w:rPr>
          <w:rFonts w:ascii="Arial" w:hAnsi="Arial" w:cs="Arial"/>
          <w:color w:val="000000" w:themeColor="text1"/>
          <w:sz w:val="22"/>
          <w:szCs w:val="22"/>
        </w:rPr>
        <w:t xml:space="preserve"> 1.2, Surface plasmon resonance biosensor (</w:t>
      </w:r>
      <w:proofErr w:type="spellStart"/>
      <w:r w:rsidRPr="006346EC">
        <w:rPr>
          <w:rFonts w:ascii="Arial" w:hAnsi="Arial" w:cs="Arial"/>
          <w:color w:val="000000" w:themeColor="text1"/>
          <w:sz w:val="22"/>
          <w:szCs w:val="22"/>
        </w:rPr>
        <w:t>Biacore</w:t>
      </w:r>
      <w:proofErr w:type="spellEnd"/>
      <w:r w:rsidRPr="006346EC">
        <w:rPr>
          <w:rFonts w:ascii="Arial" w:hAnsi="Arial" w:cs="Arial"/>
          <w:color w:val="000000" w:themeColor="text1"/>
          <w:sz w:val="22"/>
          <w:szCs w:val="22"/>
        </w:rPr>
        <w:t xml:space="preserve"> 3000), </w:t>
      </w:r>
      <w:proofErr w:type="spellStart"/>
      <w:r w:rsidRPr="006346EC">
        <w:rPr>
          <w:rFonts w:ascii="Arial" w:hAnsi="Arial" w:cs="Arial"/>
          <w:color w:val="000000" w:themeColor="text1"/>
          <w:sz w:val="22"/>
          <w:szCs w:val="22"/>
        </w:rPr>
        <w:t>Phosphorimager</w:t>
      </w:r>
      <w:proofErr w:type="spellEnd"/>
      <w:r w:rsidRPr="006346EC">
        <w:rPr>
          <w:rFonts w:ascii="Arial" w:hAnsi="Arial" w:cs="Arial"/>
          <w:color w:val="000000" w:themeColor="text1"/>
          <w:sz w:val="22"/>
          <w:szCs w:val="22"/>
        </w:rPr>
        <w:t xml:space="preserve"> (Molecular Dynamics/Amersham), PTC-225 PCR Tetrad (MJ Research), </w:t>
      </w:r>
      <w:proofErr w:type="spellStart"/>
      <w:r w:rsidRPr="006346EC">
        <w:rPr>
          <w:rFonts w:ascii="Arial" w:hAnsi="Arial" w:cs="Arial"/>
          <w:color w:val="000000" w:themeColor="text1"/>
          <w:sz w:val="22"/>
          <w:szCs w:val="22"/>
        </w:rPr>
        <w:t>AlphaImager</w:t>
      </w:r>
      <w:proofErr w:type="spellEnd"/>
      <w:r w:rsidRPr="006346EC">
        <w:rPr>
          <w:rFonts w:ascii="Arial" w:hAnsi="Arial" w:cs="Arial"/>
          <w:color w:val="000000" w:themeColor="text1"/>
          <w:sz w:val="22"/>
          <w:szCs w:val="22"/>
        </w:rPr>
        <w:t xml:space="preserve"> (Alpha Innotech), Typhoon Imaging (General Electric) and Wallac </w:t>
      </w:r>
      <w:proofErr w:type="spellStart"/>
      <w:r w:rsidRPr="006346EC">
        <w:rPr>
          <w:rFonts w:ascii="Arial" w:hAnsi="Arial" w:cs="Arial"/>
          <w:color w:val="000000" w:themeColor="text1"/>
          <w:sz w:val="22"/>
          <w:szCs w:val="22"/>
        </w:rPr>
        <w:t>MicroBeta</w:t>
      </w:r>
      <w:proofErr w:type="spellEnd"/>
      <w:r w:rsidRPr="006346EC">
        <w:rPr>
          <w:rFonts w:ascii="Arial" w:hAnsi="Arial" w:cs="Arial"/>
          <w:color w:val="000000" w:themeColor="text1"/>
          <w:sz w:val="22"/>
          <w:szCs w:val="22"/>
        </w:rPr>
        <w:t xml:space="preserve"> </w:t>
      </w:r>
      <w:proofErr w:type="spellStart"/>
      <w:r w:rsidRPr="006346EC">
        <w:rPr>
          <w:rFonts w:ascii="Arial" w:hAnsi="Arial" w:cs="Arial"/>
          <w:color w:val="000000" w:themeColor="text1"/>
          <w:sz w:val="22"/>
          <w:szCs w:val="22"/>
        </w:rPr>
        <w:t>TriLux</w:t>
      </w:r>
      <w:proofErr w:type="spellEnd"/>
      <w:r w:rsidRPr="006346EC">
        <w:rPr>
          <w:rFonts w:ascii="Arial" w:hAnsi="Arial" w:cs="Arial"/>
          <w:color w:val="000000" w:themeColor="text1"/>
          <w:sz w:val="22"/>
          <w:szCs w:val="22"/>
        </w:rPr>
        <w:t>.</w:t>
      </w:r>
    </w:p>
    <w:p w14:paraId="6B4FF35D" w14:textId="77777777" w:rsidR="00B25748" w:rsidRDefault="00B25748" w:rsidP="009C74F9">
      <w:pPr>
        <w:rPr>
          <w:rFonts w:ascii="Arial" w:hAnsi="Arial" w:cs="Arial"/>
          <w:color w:val="000000" w:themeColor="text1"/>
        </w:rPr>
      </w:pPr>
    </w:p>
    <w:p w14:paraId="6A7E0B43" w14:textId="77777777" w:rsidR="00C26A26" w:rsidRPr="006346EC" w:rsidRDefault="00C26A26" w:rsidP="00C26A26">
      <w:pPr>
        <w:rPr>
          <w:rFonts w:ascii="Arial" w:hAnsi="Arial" w:cs="Arial"/>
          <w:b/>
          <w:bCs/>
          <w:color w:val="000000" w:themeColor="text1"/>
          <w:sz w:val="22"/>
          <w:szCs w:val="22"/>
          <w:u w:val="single"/>
        </w:rPr>
      </w:pPr>
      <w:r w:rsidRPr="006346EC">
        <w:rPr>
          <w:rFonts w:ascii="Arial" w:hAnsi="Arial" w:cs="Arial"/>
          <w:b/>
          <w:bCs/>
          <w:color w:val="000000" w:themeColor="text1"/>
          <w:sz w:val="22"/>
          <w:szCs w:val="22"/>
          <w:u w:val="single"/>
        </w:rPr>
        <w:t>Ohio State Campus Microscopy and Imaging Facility (CMIF)</w:t>
      </w:r>
    </w:p>
    <w:p w14:paraId="0082E7FA" w14:textId="77777777" w:rsidR="00C26A26" w:rsidRPr="006346EC" w:rsidRDefault="00C26A26" w:rsidP="00C26A26">
      <w:pPr>
        <w:rPr>
          <w:rFonts w:ascii="Arial" w:hAnsi="Arial" w:cs="Arial"/>
          <w:color w:val="000000" w:themeColor="text1"/>
          <w:sz w:val="22"/>
          <w:szCs w:val="22"/>
        </w:rPr>
      </w:pPr>
      <w:r w:rsidRPr="006346EC">
        <w:rPr>
          <w:rFonts w:ascii="Arial" w:hAnsi="Arial" w:cs="Arial"/>
          <w:color w:val="000000" w:themeColor="text1"/>
          <w:sz w:val="22"/>
          <w:szCs w:val="22"/>
        </w:rPr>
        <w:t xml:space="preserve">Located on the second floor of the Biomedical Research Tower, the CMIF offers a full range of microscopes for live (BSL2 compliant) and fixed sample imaging including a suite of confocal microscopes, transmission electron microscopy and super resolution microscopy. The CMIF offers training on all our microscopes and full support during office hours. Advanced users can operate equipment out of office hours with options for extended use for longer term experiments. The CMIF also offers advice in experimental design, data interpretation, data analysis and figure preparation with the goal of maximizing microscopy-based research. In addition, the CMIF offers equipment and services to prepare specimens for transmission electron and scanning electron microscopy. </w:t>
      </w:r>
    </w:p>
    <w:p w14:paraId="390A251B" w14:textId="77777777" w:rsidR="00C26A26" w:rsidRPr="006346EC" w:rsidRDefault="00C26A26" w:rsidP="00C26A26">
      <w:pPr>
        <w:rPr>
          <w:rFonts w:ascii="Arial" w:hAnsi="Arial" w:cs="Arial"/>
          <w:color w:val="000000" w:themeColor="text1"/>
          <w:sz w:val="22"/>
          <w:szCs w:val="22"/>
        </w:rPr>
      </w:pPr>
    </w:p>
    <w:p w14:paraId="553E5AFE" w14:textId="77777777" w:rsidR="00C26A26" w:rsidRPr="006346EC" w:rsidRDefault="00C26A26" w:rsidP="00C26A26">
      <w:pPr>
        <w:rPr>
          <w:rFonts w:ascii="Arial" w:hAnsi="Arial" w:cs="Arial"/>
          <w:bCs/>
          <w:color w:val="000000" w:themeColor="text1"/>
          <w:sz w:val="22"/>
          <w:szCs w:val="22"/>
        </w:rPr>
      </w:pPr>
      <w:r w:rsidRPr="006346EC">
        <w:rPr>
          <w:rFonts w:ascii="Arial" w:hAnsi="Arial" w:cs="Arial"/>
          <w:color w:val="000000" w:themeColor="text1"/>
          <w:sz w:val="22"/>
          <w:szCs w:val="22"/>
        </w:rPr>
        <w:lastRenderedPageBreak/>
        <w:t xml:space="preserve">Our major equipment includes: an </w:t>
      </w:r>
      <w:r w:rsidRPr="006346EC">
        <w:rPr>
          <w:rFonts w:ascii="Arial" w:hAnsi="Arial" w:cs="Arial"/>
          <w:bCs/>
          <w:color w:val="000000" w:themeColor="text1"/>
          <w:sz w:val="22"/>
          <w:szCs w:val="22"/>
        </w:rPr>
        <w:t xml:space="preserve">FEI </w:t>
      </w:r>
      <w:proofErr w:type="spellStart"/>
      <w:r w:rsidRPr="006346EC">
        <w:rPr>
          <w:rFonts w:ascii="Arial" w:hAnsi="Arial" w:cs="Arial"/>
          <w:bCs/>
          <w:color w:val="000000" w:themeColor="text1"/>
          <w:sz w:val="22"/>
          <w:szCs w:val="22"/>
        </w:rPr>
        <w:t>Tecnai</w:t>
      </w:r>
      <w:proofErr w:type="spellEnd"/>
      <w:r w:rsidRPr="006346EC">
        <w:rPr>
          <w:rFonts w:ascii="Arial" w:hAnsi="Arial" w:cs="Arial"/>
          <w:bCs/>
          <w:color w:val="000000" w:themeColor="text1"/>
          <w:sz w:val="22"/>
          <w:szCs w:val="22"/>
        </w:rPr>
        <w:t xml:space="preserve"> G2 Spirit </w:t>
      </w:r>
      <w:proofErr w:type="spellStart"/>
      <w:r w:rsidRPr="006346EC">
        <w:rPr>
          <w:rFonts w:ascii="Arial" w:hAnsi="Arial" w:cs="Arial"/>
          <w:bCs/>
          <w:color w:val="000000" w:themeColor="text1"/>
          <w:sz w:val="22"/>
          <w:szCs w:val="22"/>
        </w:rPr>
        <w:t>BioTWIN</w:t>
      </w:r>
      <w:proofErr w:type="spellEnd"/>
      <w:r w:rsidRPr="006346EC">
        <w:rPr>
          <w:rFonts w:ascii="Arial" w:hAnsi="Arial" w:cs="Arial"/>
          <w:bCs/>
          <w:color w:val="000000" w:themeColor="text1"/>
          <w:sz w:val="22"/>
          <w:szCs w:val="22"/>
        </w:rPr>
        <w:t xml:space="preserve"> digital </w:t>
      </w:r>
      <w:r w:rsidRPr="006346EC">
        <w:rPr>
          <w:rFonts w:ascii="Arial" w:hAnsi="Arial" w:cs="Arial"/>
          <w:color w:val="000000" w:themeColor="text1"/>
          <w:sz w:val="22"/>
          <w:szCs w:val="22"/>
        </w:rPr>
        <w:t>transmission electron microscope</w:t>
      </w:r>
      <w:r w:rsidRPr="006346EC">
        <w:rPr>
          <w:rFonts w:ascii="Arial" w:hAnsi="Arial" w:cs="Arial"/>
          <w:bCs/>
          <w:color w:val="000000" w:themeColor="text1"/>
          <w:sz w:val="22"/>
          <w:szCs w:val="22"/>
        </w:rPr>
        <w:t xml:space="preserve">, a Nikon A1R laser scanning confocal microscope, an </w:t>
      </w:r>
      <w:r w:rsidRPr="006346EC">
        <w:rPr>
          <w:rFonts w:ascii="Arial" w:hAnsi="Arial" w:cs="Arial"/>
          <w:color w:val="000000" w:themeColor="text1"/>
          <w:sz w:val="22"/>
          <w:szCs w:val="22"/>
          <w:shd w:val="clear" w:color="auto" w:fill="FFFFFF"/>
        </w:rPr>
        <w:t xml:space="preserve">Olympus FV1000 MPE confocal and multiphoton laser scanning microscope, two Olympus FV3000 laser scanning confocal microscopes (a 7 laser system and a </w:t>
      </w:r>
      <w:proofErr w:type="spellStart"/>
      <w:r w:rsidRPr="006346EC">
        <w:rPr>
          <w:rFonts w:ascii="Arial" w:hAnsi="Arial" w:cs="Arial"/>
          <w:color w:val="000000" w:themeColor="text1"/>
          <w:sz w:val="22"/>
          <w:szCs w:val="22"/>
          <w:shd w:val="clear" w:color="auto" w:fill="FFFFFF"/>
        </w:rPr>
        <w:t>fivedetector</w:t>
      </w:r>
      <w:proofErr w:type="spellEnd"/>
      <w:r w:rsidRPr="006346EC">
        <w:rPr>
          <w:rFonts w:ascii="Arial" w:hAnsi="Arial" w:cs="Arial"/>
          <w:color w:val="000000" w:themeColor="text1"/>
          <w:sz w:val="22"/>
          <w:szCs w:val="22"/>
          <w:shd w:val="clear" w:color="auto" w:fill="FFFFFF"/>
        </w:rPr>
        <w:t xml:space="preserve"> system with a near infrared laser), an </w:t>
      </w:r>
      <w:r w:rsidRPr="006346EC">
        <w:rPr>
          <w:rFonts w:ascii="Arial" w:hAnsi="Arial" w:cs="Arial"/>
          <w:color w:val="000000" w:themeColor="text1"/>
          <w:sz w:val="22"/>
          <w:szCs w:val="22"/>
        </w:rPr>
        <w:t>O</w:t>
      </w:r>
      <w:r w:rsidRPr="006346EC">
        <w:rPr>
          <w:rFonts w:ascii="Arial" w:hAnsi="Arial" w:cs="Arial"/>
          <w:color w:val="000000" w:themeColor="text1"/>
          <w:sz w:val="22"/>
          <w:szCs w:val="22"/>
          <w:shd w:val="clear" w:color="auto" w:fill="FFFFFF"/>
        </w:rPr>
        <w:t>lympus</w:t>
      </w:r>
      <w:r w:rsidRPr="006346EC">
        <w:rPr>
          <w:rFonts w:ascii="Arial" w:hAnsi="Arial" w:cs="Arial"/>
          <w:color w:val="000000" w:themeColor="text1"/>
          <w:sz w:val="22"/>
          <w:szCs w:val="22"/>
        </w:rPr>
        <w:t xml:space="preserve"> </w:t>
      </w:r>
      <w:r w:rsidRPr="006346EC">
        <w:rPr>
          <w:rFonts w:ascii="Arial" w:hAnsi="Arial" w:cs="Arial"/>
          <w:color w:val="000000" w:themeColor="text1"/>
          <w:sz w:val="22"/>
          <w:szCs w:val="22"/>
          <w:shd w:val="clear" w:color="auto" w:fill="FFFFFF"/>
        </w:rPr>
        <w:t>FV1000 upright laser scanning confocal microscope</w:t>
      </w:r>
      <w:r w:rsidRPr="006346EC">
        <w:rPr>
          <w:rFonts w:ascii="Arial" w:hAnsi="Arial" w:cs="Arial"/>
          <w:bCs/>
          <w:color w:val="000000" w:themeColor="text1"/>
          <w:sz w:val="22"/>
          <w:szCs w:val="22"/>
        </w:rPr>
        <w:t xml:space="preserve">, a Zeiss </w:t>
      </w:r>
      <w:proofErr w:type="spellStart"/>
      <w:r w:rsidRPr="006346EC">
        <w:rPr>
          <w:rFonts w:ascii="Arial" w:hAnsi="Arial" w:cs="Arial"/>
          <w:bCs/>
          <w:color w:val="000000" w:themeColor="text1"/>
          <w:sz w:val="22"/>
          <w:szCs w:val="22"/>
        </w:rPr>
        <w:t>Axioskop</w:t>
      </w:r>
      <w:proofErr w:type="spellEnd"/>
      <w:r w:rsidRPr="006346EC">
        <w:rPr>
          <w:rFonts w:ascii="Arial" w:hAnsi="Arial" w:cs="Arial"/>
          <w:bCs/>
          <w:color w:val="000000" w:themeColor="text1"/>
          <w:sz w:val="22"/>
          <w:szCs w:val="22"/>
        </w:rPr>
        <w:t xml:space="preserve"> brightfield system with fluorescence and polarized light microscopy capability and a Nikon N-SIM/N-STORM super-resolution microscope system consisting of </w:t>
      </w:r>
      <w:r w:rsidRPr="006346EC">
        <w:rPr>
          <w:rFonts w:ascii="Arial" w:hAnsi="Arial" w:cs="Arial"/>
          <w:color w:val="000000" w:themeColor="text1"/>
          <w:sz w:val="22"/>
          <w:szCs w:val="22"/>
        </w:rPr>
        <w:t>Structured Illumination Microscopy (SIM), Total Internal Reflection (TIRF) and Stochastic Optical Reconstruction Microscopy (STORM) imaging capabilities.</w:t>
      </w:r>
      <w:r w:rsidRPr="006346EC">
        <w:rPr>
          <w:rFonts w:ascii="Arial" w:hAnsi="Arial" w:cs="Arial"/>
          <w:bCs/>
          <w:color w:val="000000" w:themeColor="text1"/>
          <w:sz w:val="22"/>
          <w:szCs w:val="22"/>
        </w:rPr>
        <w:t xml:space="preserve"> In addition, the CMIF has sample preparation equipment: a Reichert </w:t>
      </w:r>
      <w:proofErr w:type="spellStart"/>
      <w:r w:rsidRPr="006346EC">
        <w:rPr>
          <w:rFonts w:ascii="Arial" w:hAnsi="Arial" w:cs="Arial"/>
          <w:bCs/>
          <w:color w:val="000000" w:themeColor="text1"/>
          <w:sz w:val="22"/>
          <w:szCs w:val="22"/>
        </w:rPr>
        <w:t>Ultracut</w:t>
      </w:r>
      <w:proofErr w:type="spellEnd"/>
      <w:r w:rsidRPr="006346EC">
        <w:rPr>
          <w:rFonts w:ascii="Arial" w:hAnsi="Arial" w:cs="Arial"/>
          <w:bCs/>
          <w:color w:val="000000" w:themeColor="text1"/>
          <w:sz w:val="22"/>
          <w:szCs w:val="22"/>
        </w:rPr>
        <w:t xml:space="preserve"> E microtome, a Leica EM UC7 Ultramicrotome, a Leica EM UC6 Ultramicrotome equipped with an FC6 </w:t>
      </w:r>
      <w:proofErr w:type="spellStart"/>
      <w:r w:rsidRPr="006346EC">
        <w:rPr>
          <w:rFonts w:ascii="Arial" w:hAnsi="Arial" w:cs="Arial"/>
          <w:bCs/>
          <w:color w:val="000000" w:themeColor="text1"/>
          <w:sz w:val="22"/>
          <w:szCs w:val="22"/>
        </w:rPr>
        <w:t>Cryo</w:t>
      </w:r>
      <w:proofErr w:type="spellEnd"/>
      <w:r w:rsidRPr="006346EC">
        <w:rPr>
          <w:rFonts w:ascii="Arial" w:hAnsi="Arial" w:cs="Arial"/>
          <w:bCs/>
          <w:color w:val="000000" w:themeColor="text1"/>
          <w:sz w:val="22"/>
          <w:szCs w:val="22"/>
        </w:rPr>
        <w:t xml:space="preserve"> unit, Pelco </w:t>
      </w:r>
      <w:proofErr w:type="spellStart"/>
      <w:r w:rsidRPr="006346EC">
        <w:rPr>
          <w:rFonts w:ascii="Arial" w:hAnsi="Arial" w:cs="Arial"/>
          <w:bCs/>
          <w:color w:val="000000" w:themeColor="text1"/>
          <w:sz w:val="22"/>
          <w:szCs w:val="22"/>
        </w:rPr>
        <w:t>BioWave</w:t>
      </w:r>
      <w:proofErr w:type="spellEnd"/>
      <w:r w:rsidRPr="006346EC">
        <w:rPr>
          <w:rFonts w:ascii="Arial" w:hAnsi="Arial" w:cs="Arial"/>
          <w:bCs/>
          <w:color w:val="000000" w:themeColor="text1"/>
          <w:sz w:val="22"/>
          <w:szCs w:val="22"/>
        </w:rPr>
        <w:t xml:space="preserve"> Pro microwave processing system, </w:t>
      </w:r>
      <w:proofErr w:type="spellStart"/>
      <w:r w:rsidRPr="006346EC">
        <w:rPr>
          <w:rFonts w:ascii="Arial" w:hAnsi="Arial" w:cs="Arial"/>
          <w:bCs/>
          <w:color w:val="000000" w:themeColor="text1"/>
          <w:sz w:val="22"/>
          <w:szCs w:val="22"/>
        </w:rPr>
        <w:t>Tousimis</w:t>
      </w:r>
      <w:proofErr w:type="spellEnd"/>
      <w:r w:rsidRPr="006346EC">
        <w:rPr>
          <w:rFonts w:ascii="Arial" w:hAnsi="Arial" w:cs="Arial"/>
          <w:bCs/>
          <w:color w:val="000000" w:themeColor="text1"/>
          <w:sz w:val="22"/>
          <w:szCs w:val="22"/>
        </w:rPr>
        <w:t xml:space="preserve"> Autosamdri-931 critical point dryer and an EMS Quorum 150T S sputter coater. Additionally, the CMIF has a Nikon AXR laser scanning confocal microscope located in the basement of the </w:t>
      </w:r>
      <w:proofErr w:type="spellStart"/>
      <w:r w:rsidRPr="006346EC">
        <w:rPr>
          <w:rFonts w:ascii="Arial" w:hAnsi="Arial" w:cs="Arial"/>
          <w:bCs/>
          <w:color w:val="000000" w:themeColor="text1"/>
          <w:sz w:val="22"/>
          <w:szCs w:val="22"/>
        </w:rPr>
        <w:t>Pelotonia</w:t>
      </w:r>
      <w:proofErr w:type="spellEnd"/>
      <w:r w:rsidRPr="006346EC">
        <w:rPr>
          <w:rFonts w:ascii="Arial" w:hAnsi="Arial" w:cs="Arial"/>
          <w:bCs/>
          <w:color w:val="000000" w:themeColor="text1"/>
          <w:sz w:val="22"/>
          <w:szCs w:val="22"/>
        </w:rPr>
        <w:t xml:space="preserve"> Research Center. All instruments are staff-operated or self-operated after training.</w:t>
      </w:r>
    </w:p>
    <w:p w14:paraId="5435B3F0" w14:textId="77777777" w:rsidR="00C26A26" w:rsidRPr="006346EC" w:rsidRDefault="00C26A26" w:rsidP="00C26A26">
      <w:pPr>
        <w:rPr>
          <w:rFonts w:ascii="Arial" w:hAnsi="Arial" w:cs="Arial"/>
          <w:bCs/>
          <w:color w:val="000000" w:themeColor="text1"/>
          <w:sz w:val="22"/>
          <w:szCs w:val="22"/>
        </w:rPr>
      </w:pPr>
    </w:p>
    <w:p w14:paraId="2B44ED15" w14:textId="77777777" w:rsidR="00C26A26" w:rsidRPr="006346EC" w:rsidRDefault="00C26A26" w:rsidP="00C26A26">
      <w:pPr>
        <w:rPr>
          <w:rFonts w:ascii="Arial" w:hAnsi="Arial" w:cs="Arial"/>
          <w:b/>
          <w:bCs/>
          <w:color w:val="000000" w:themeColor="text1"/>
          <w:sz w:val="22"/>
          <w:szCs w:val="22"/>
          <w:u w:val="single"/>
        </w:rPr>
      </w:pPr>
      <w:r w:rsidRPr="006346EC">
        <w:rPr>
          <w:rFonts w:ascii="Arial" w:hAnsi="Arial" w:cs="Arial"/>
          <w:b/>
          <w:bCs/>
          <w:color w:val="000000" w:themeColor="text1"/>
          <w:sz w:val="22"/>
          <w:szCs w:val="22"/>
          <w:u w:val="single"/>
        </w:rPr>
        <w:t>Ohio State Campus Chemical Instrument Center (CCIC)</w:t>
      </w:r>
    </w:p>
    <w:p w14:paraId="0E4811E1" w14:textId="77777777" w:rsidR="00C26A26" w:rsidRPr="006346EC" w:rsidRDefault="00C26A26" w:rsidP="00C26A26">
      <w:pPr>
        <w:rPr>
          <w:rFonts w:ascii="Arial" w:hAnsi="Arial" w:cs="Arial"/>
          <w:color w:val="000000" w:themeColor="text1"/>
          <w:sz w:val="22"/>
          <w:szCs w:val="22"/>
        </w:rPr>
      </w:pPr>
      <w:r w:rsidRPr="006346EC">
        <w:rPr>
          <w:rFonts w:ascii="Arial" w:hAnsi="Arial" w:cs="Arial"/>
          <w:color w:val="000000" w:themeColor="text1"/>
          <w:sz w:val="22"/>
          <w:szCs w:val="22"/>
        </w:rPr>
        <w:t>The Campus Chemical Instrument Center (CCIC) was founded in 1981 as a unit of the Office of Research (OR) and is now a center under the Ohio State Enterprise for Research and Innovation Knowledge (ERIK). The mission of the CCIC is to provide state-of-the-art research facilities for the entire campus in three areas: Nuclear Magnetic Resonance (NMR), Mass Spectrometry (MS) and Proteomics. Since the NMR, MS and Proteomics Facilities are central hubs for the Ohio NMR and Ohio MS Consortiums, respectively, all researchers in the colleges and universities of the State of Ohio have access to all facilities of the CCIC with the same user fees. The Ohio State OR/ERIK provides personnel support of the CCIC. Equipment funding has been provided by Ohio Department of Higher Education, National Institutes of Health, National Science Foundation and OR/ERIK.</w:t>
      </w:r>
    </w:p>
    <w:p w14:paraId="7DE290A5" w14:textId="77777777" w:rsidR="00C26A26" w:rsidRPr="00B12B0B" w:rsidRDefault="00C26A26" w:rsidP="00C26A26">
      <w:pPr>
        <w:pStyle w:val="ListParagraph"/>
        <w:numPr>
          <w:ilvl w:val="0"/>
          <w:numId w:val="38"/>
        </w:numPr>
        <w:rPr>
          <w:rFonts w:ascii="Arial" w:hAnsi="Arial" w:cs="Arial"/>
          <w:color w:val="000000" w:themeColor="text1"/>
          <w:sz w:val="22"/>
          <w:szCs w:val="22"/>
        </w:rPr>
      </w:pPr>
      <w:r w:rsidRPr="00B12B0B">
        <w:rPr>
          <w:rFonts w:ascii="Arial" w:hAnsi="Arial" w:cs="Arial"/>
          <w:color w:val="000000" w:themeColor="text1"/>
          <w:sz w:val="22"/>
          <w:szCs w:val="22"/>
        </w:rPr>
        <w:t>NMR capabilities including the National Gateway Ultrahigh Field NMR Center</w:t>
      </w:r>
    </w:p>
    <w:p w14:paraId="77D3F4B6" w14:textId="77777777" w:rsidR="00C26A26" w:rsidRDefault="00C26A26" w:rsidP="00C26A26">
      <w:pPr>
        <w:pStyle w:val="ListParagraph"/>
        <w:numPr>
          <w:ilvl w:val="0"/>
          <w:numId w:val="38"/>
        </w:numPr>
        <w:rPr>
          <w:rFonts w:ascii="Arial" w:hAnsi="Arial" w:cs="Arial"/>
          <w:color w:val="000000" w:themeColor="text1"/>
          <w:sz w:val="22"/>
          <w:szCs w:val="22"/>
        </w:rPr>
      </w:pPr>
      <w:r w:rsidRPr="00B12B0B">
        <w:rPr>
          <w:rFonts w:ascii="Arial" w:hAnsi="Arial" w:cs="Arial"/>
          <w:color w:val="000000" w:themeColor="text1"/>
          <w:sz w:val="22"/>
          <w:szCs w:val="22"/>
        </w:rPr>
        <w:t>A cutting-edge ultrahigh field 1.2 GHz nuclear magnetic resonance (NMR) spectrometer has been funded by the National Science Foundation (NSF), which will be the centerpiece of the new National Gateway Ultrahigh Field NMR Center. Once commissioned, this next generation NMR instrument will be open to United States NMR researchers in the fields of biomolecular NMR of proteins and nucleic acids in solution and in the solid state, materials science and metabolomics. This instrument complements existing high-field capabilities of the CCIC NMR facility which also includes functional NMR instruments for both solution and solid-state analyses, from 600, 700, 800, 850 and 1200 MHz magnetic field strengths.</w:t>
      </w:r>
    </w:p>
    <w:p w14:paraId="195FE42E" w14:textId="77777777" w:rsidR="00C26A26" w:rsidRPr="00B12B0B" w:rsidRDefault="00C26A26" w:rsidP="00C26A26">
      <w:pPr>
        <w:pStyle w:val="ListParagraph"/>
        <w:rPr>
          <w:rFonts w:ascii="Arial" w:hAnsi="Arial" w:cs="Arial"/>
          <w:color w:val="000000" w:themeColor="text1"/>
          <w:sz w:val="22"/>
          <w:szCs w:val="22"/>
        </w:rPr>
      </w:pPr>
    </w:p>
    <w:p w14:paraId="0EC16825" w14:textId="77777777" w:rsidR="00C26A26" w:rsidRPr="00B12B0B" w:rsidRDefault="00C26A26" w:rsidP="00C26A26">
      <w:pPr>
        <w:rPr>
          <w:rFonts w:ascii="Arial" w:hAnsi="Arial" w:cs="Arial"/>
          <w:b/>
          <w:bCs/>
          <w:color w:val="000000" w:themeColor="text1"/>
          <w:sz w:val="22"/>
          <w:szCs w:val="22"/>
          <w:u w:val="single"/>
        </w:rPr>
      </w:pPr>
      <w:r w:rsidRPr="00B12B0B">
        <w:rPr>
          <w:rFonts w:ascii="Arial" w:hAnsi="Arial" w:cs="Arial"/>
          <w:b/>
          <w:bCs/>
          <w:color w:val="000000" w:themeColor="text1"/>
          <w:sz w:val="22"/>
          <w:szCs w:val="22"/>
          <w:u w:val="single"/>
        </w:rPr>
        <w:t>Ohio State Proteomics Shared Resource</w:t>
      </w:r>
    </w:p>
    <w:p w14:paraId="2CC50618" w14:textId="77777777" w:rsidR="00C26A26" w:rsidRPr="006346EC" w:rsidRDefault="00C26A26" w:rsidP="00C26A26">
      <w:pPr>
        <w:rPr>
          <w:rFonts w:ascii="Arial" w:hAnsi="Arial" w:cs="Arial"/>
          <w:color w:val="000000" w:themeColor="text1"/>
          <w:sz w:val="22"/>
          <w:szCs w:val="22"/>
        </w:rPr>
      </w:pPr>
      <w:r w:rsidRPr="006346EC">
        <w:rPr>
          <w:rFonts w:ascii="Arial" w:hAnsi="Arial" w:cs="Arial"/>
          <w:color w:val="000000" w:themeColor="text1"/>
          <w:sz w:val="22"/>
          <w:szCs w:val="22"/>
        </w:rPr>
        <w:t>The Proteomics Shared Resource (PSR) provides researchers access to advanced mass spectrometry instrumentation and analysis for protein identification, characterization and quantification. Using a variety of analytical platforms, researchers can discover novel differentially expressed proteins in serum, urine, BAL fluid, saliva, frozen tissues, formalin-fixed tissues and cell lysates. The PSR is part of the Campus Chemical Instrument Center managed by the Ohio State Office of Research. PSR is an interdisciplinary unit that provides researchers with technical expertise and state-of-the-art instrumentation needed to identify proteins, protein modifications, protein interactions and protein biomarkers as well as protein quantitation studies. The PSR can identify proteins from solution, 1D and 2D gels using electrophoresis and imaging equipment, robotic sample handlers and (tandem) mass spectrometers. PSR provides high-quality, affordable service for identifying proteins, protein modifications, protein interactions and protein biomarkers as well as protein quantitation studies; consultative services and technical assistance in experimental design and implementation in protein sample preparation, separation and purification, as well as in image analysis, mass spectrometry and data mining; education and training for basic and clinical investigators in proteomics analysis applications and capabilities; advanced methods of sample pre-fractionation prior to mass spectrometric analysis and protein identification; analysis of complex mixtures of proteins by 2D-HPLC and tandem mass spectrometry, especially for evaluating protein and chemical biomarkers for cancer and therapeutic regimen.</w:t>
      </w:r>
    </w:p>
    <w:p w14:paraId="1D879878" w14:textId="77777777" w:rsidR="00C26A26" w:rsidRPr="006346EC" w:rsidRDefault="00C26A26" w:rsidP="00C26A26">
      <w:pPr>
        <w:rPr>
          <w:rFonts w:ascii="Arial" w:eastAsia="+mn-ea" w:hAnsi="Arial" w:cs="Arial"/>
          <w:color w:val="000000" w:themeColor="text1"/>
          <w:kern w:val="24"/>
          <w:sz w:val="22"/>
          <w:szCs w:val="22"/>
        </w:rPr>
      </w:pPr>
    </w:p>
    <w:p w14:paraId="75F0ED96" w14:textId="77777777" w:rsidR="00C26A26" w:rsidRPr="006346EC" w:rsidRDefault="00C26A26" w:rsidP="00C26A26">
      <w:pPr>
        <w:rPr>
          <w:rFonts w:ascii="Arial" w:hAnsi="Arial" w:cs="Arial"/>
          <w:b/>
          <w:bCs/>
          <w:color w:val="000000" w:themeColor="text1"/>
          <w:sz w:val="22"/>
          <w:szCs w:val="22"/>
          <w:u w:val="single"/>
        </w:rPr>
      </w:pPr>
      <w:r w:rsidRPr="006346EC">
        <w:rPr>
          <w:rFonts w:ascii="Arial" w:hAnsi="Arial" w:cs="Arial"/>
          <w:b/>
          <w:bCs/>
          <w:color w:val="000000" w:themeColor="text1"/>
          <w:sz w:val="22"/>
          <w:szCs w:val="22"/>
          <w:u w:val="single"/>
        </w:rPr>
        <w:t>Ohio State Center for Ethics and Human Values</w:t>
      </w:r>
    </w:p>
    <w:p w14:paraId="36D783F6" w14:textId="77777777" w:rsidR="00C26A26" w:rsidRPr="006346EC" w:rsidRDefault="00C26A26" w:rsidP="00C26A26">
      <w:pPr>
        <w:rPr>
          <w:rFonts w:ascii="Arial" w:hAnsi="Arial" w:cs="Arial"/>
          <w:color w:val="000000" w:themeColor="text1"/>
          <w:sz w:val="22"/>
          <w:szCs w:val="22"/>
        </w:rPr>
      </w:pPr>
      <w:r w:rsidRPr="006346EC">
        <w:rPr>
          <w:rFonts w:ascii="Arial" w:hAnsi="Arial" w:cs="Arial"/>
          <w:color w:val="000000" w:themeColor="text1"/>
          <w:sz w:val="22"/>
          <w:szCs w:val="22"/>
        </w:rPr>
        <w:t xml:space="preserve">The Center for Ethics and Human Values is Ohio State's hub for respectful discussion and interdisciplinary engagement on the ethical challenges that shape the University and the broader community—an essential part of "Education for Citizenship." A faculty-led, University-level center, it has collaborated with more than forty </w:t>
      </w:r>
      <w:r w:rsidRPr="006346EC">
        <w:rPr>
          <w:rFonts w:ascii="Arial" w:hAnsi="Arial" w:cs="Arial"/>
          <w:color w:val="000000" w:themeColor="text1"/>
          <w:sz w:val="22"/>
          <w:szCs w:val="22"/>
        </w:rPr>
        <w:lastRenderedPageBreak/>
        <w:t>academic departments and programs in a dozen Ohio State colleges, covering a wide range of scientific and humanistic disciplines. It has also worked closely with university efforts including the Shared Values Initiative, the Provost's Civil Discourse Project and the Office of Research.</w:t>
      </w:r>
    </w:p>
    <w:p w14:paraId="04EE4093" w14:textId="77777777" w:rsidR="00C26A26" w:rsidRPr="006346EC" w:rsidRDefault="00C26A26" w:rsidP="00C26A26">
      <w:pPr>
        <w:rPr>
          <w:rFonts w:ascii="Arial" w:hAnsi="Arial" w:cs="Arial"/>
          <w:color w:val="000000" w:themeColor="text1"/>
          <w:sz w:val="22"/>
          <w:szCs w:val="22"/>
        </w:rPr>
      </w:pPr>
    </w:p>
    <w:p w14:paraId="432FF077" w14:textId="77777777" w:rsidR="00C26A26" w:rsidRPr="006346EC" w:rsidRDefault="00C26A26" w:rsidP="00C26A26">
      <w:pPr>
        <w:rPr>
          <w:rFonts w:ascii="Arial" w:hAnsi="Arial" w:cs="Arial"/>
          <w:b/>
          <w:bCs/>
          <w:color w:val="000000" w:themeColor="text1"/>
          <w:sz w:val="22"/>
          <w:szCs w:val="22"/>
          <w:u w:val="single"/>
        </w:rPr>
      </w:pPr>
      <w:r w:rsidRPr="006346EC">
        <w:rPr>
          <w:rFonts w:ascii="Arial" w:hAnsi="Arial" w:cs="Arial"/>
          <w:b/>
          <w:bCs/>
          <w:color w:val="000000" w:themeColor="text1"/>
          <w:sz w:val="22"/>
          <w:szCs w:val="22"/>
          <w:u w:val="single"/>
        </w:rPr>
        <w:t>Ohio State Center for Healthy Aging, Self-Management and Complex Care</w:t>
      </w:r>
    </w:p>
    <w:p w14:paraId="2128CD63" w14:textId="77777777" w:rsidR="00C26A26" w:rsidRPr="006346EC" w:rsidRDefault="00C26A26" w:rsidP="00C26A26">
      <w:pPr>
        <w:rPr>
          <w:rFonts w:ascii="Arial" w:hAnsi="Arial" w:cs="Arial"/>
          <w:color w:val="000000" w:themeColor="text1"/>
          <w:sz w:val="22"/>
          <w:szCs w:val="22"/>
        </w:rPr>
      </w:pPr>
      <w:r w:rsidRPr="006346EC">
        <w:rPr>
          <w:rFonts w:ascii="Arial" w:hAnsi="Arial" w:cs="Arial"/>
          <w:color w:val="000000" w:themeColor="text1"/>
          <w:sz w:val="22"/>
          <w:szCs w:val="22"/>
        </w:rPr>
        <w:t>The Center for Healthy Aging, Self-Management and Complex Care in the College of Nursing brings together a community of internationally renowned nurse scientists, scholars, clinicians and educators dedicated to advancing our knowledge and response to the issues of complex care, self-management and health promotion among vulnerable and aging populations. The team comes together to cultivate innovations that affect care delivery spanning all settings and adult ages.</w:t>
      </w:r>
    </w:p>
    <w:p w14:paraId="355C25BC" w14:textId="77777777" w:rsidR="00C26A26" w:rsidRPr="006346EC" w:rsidRDefault="00C26A26" w:rsidP="00C26A26">
      <w:pPr>
        <w:rPr>
          <w:rFonts w:ascii="Arial" w:hAnsi="Arial" w:cs="Arial"/>
          <w:color w:val="000000" w:themeColor="text1"/>
          <w:sz w:val="22"/>
          <w:szCs w:val="22"/>
        </w:rPr>
      </w:pPr>
    </w:p>
    <w:p w14:paraId="2B205DD0" w14:textId="77777777" w:rsidR="00C26A26" w:rsidRPr="006346EC" w:rsidRDefault="00C26A26" w:rsidP="00C26A26">
      <w:pPr>
        <w:rPr>
          <w:rFonts w:ascii="Arial" w:hAnsi="Arial" w:cs="Arial"/>
          <w:b/>
          <w:bCs/>
          <w:color w:val="000000" w:themeColor="text1"/>
          <w:sz w:val="22"/>
          <w:szCs w:val="22"/>
          <w:u w:val="single"/>
        </w:rPr>
      </w:pPr>
      <w:r w:rsidRPr="006346EC">
        <w:rPr>
          <w:rFonts w:ascii="Arial" w:hAnsi="Arial" w:cs="Arial"/>
          <w:b/>
          <w:bCs/>
          <w:color w:val="000000" w:themeColor="text1"/>
          <w:sz w:val="22"/>
          <w:szCs w:val="22"/>
          <w:u w:val="single"/>
        </w:rPr>
        <w:t>Ohio State Center for Knowledge Management</w:t>
      </w:r>
    </w:p>
    <w:p w14:paraId="13BBB71A" w14:textId="77777777" w:rsidR="00C26A26" w:rsidRPr="006346EC" w:rsidRDefault="00C26A26" w:rsidP="00C26A26">
      <w:pPr>
        <w:rPr>
          <w:rFonts w:ascii="Arial" w:hAnsi="Arial" w:cs="Arial"/>
          <w:color w:val="000000" w:themeColor="text1"/>
          <w:sz w:val="22"/>
          <w:szCs w:val="22"/>
        </w:rPr>
      </w:pPr>
      <w:r w:rsidRPr="006346EC">
        <w:rPr>
          <w:rFonts w:ascii="Arial" w:hAnsi="Arial" w:cs="Arial"/>
          <w:color w:val="000000" w:themeColor="text1"/>
          <w:sz w:val="22"/>
          <w:szCs w:val="22"/>
        </w:rPr>
        <w:t>Ohio State’s Center for Knowledge Management (CKM), housed in the John A. Prior Health Sciences Library, is one of the nation’s most comprehensive repositories of global biomedical knowledge and intellectual capital. The CKM provides cost-effective access to biomedical knowledge, identifies and makes available knowledge and key research findings, expedites packaging of information content as reusable and shareable resources, facilitates understanding and helps incorporate information resources into work processes. The CKM supports The Ohio State University Wexner Medical Center in its three-part mission of research, education and patient care through advances in the acquisition, organization, storage and distribution of biomedical and other health science-related information.</w:t>
      </w:r>
    </w:p>
    <w:p w14:paraId="236C1F50" w14:textId="77777777" w:rsidR="00C26A26" w:rsidRPr="006346EC" w:rsidRDefault="00C26A26" w:rsidP="00C26A26">
      <w:pPr>
        <w:rPr>
          <w:rFonts w:ascii="Arial" w:hAnsi="Arial" w:cs="Arial"/>
          <w:color w:val="000000" w:themeColor="text1"/>
          <w:sz w:val="22"/>
          <w:szCs w:val="22"/>
        </w:rPr>
      </w:pPr>
    </w:p>
    <w:p w14:paraId="05FA02C1" w14:textId="77777777" w:rsidR="00C26A26" w:rsidRPr="006346EC" w:rsidRDefault="00C26A26" w:rsidP="00C26A26">
      <w:pPr>
        <w:rPr>
          <w:rFonts w:ascii="Arial" w:hAnsi="Arial" w:cs="Arial"/>
          <w:b/>
          <w:bCs/>
          <w:color w:val="000000" w:themeColor="text1"/>
          <w:sz w:val="22"/>
          <w:szCs w:val="22"/>
          <w:u w:val="single"/>
        </w:rPr>
      </w:pPr>
      <w:r w:rsidRPr="006346EC">
        <w:rPr>
          <w:rFonts w:ascii="Arial" w:hAnsi="Arial" w:cs="Arial"/>
          <w:b/>
          <w:bCs/>
          <w:color w:val="000000" w:themeColor="text1"/>
          <w:sz w:val="22"/>
          <w:szCs w:val="22"/>
          <w:u w:val="single"/>
        </w:rPr>
        <w:t>Ohio State Center of Microbiome Science (</w:t>
      </w:r>
      <w:proofErr w:type="spellStart"/>
      <w:r w:rsidRPr="006346EC">
        <w:rPr>
          <w:rFonts w:ascii="Arial" w:hAnsi="Arial" w:cs="Arial"/>
          <w:b/>
          <w:bCs/>
          <w:color w:val="000000" w:themeColor="text1"/>
          <w:sz w:val="22"/>
          <w:szCs w:val="22"/>
          <w:u w:val="single"/>
        </w:rPr>
        <w:t>CoMS</w:t>
      </w:r>
      <w:proofErr w:type="spellEnd"/>
      <w:r w:rsidRPr="006346EC">
        <w:rPr>
          <w:rFonts w:ascii="Arial" w:hAnsi="Arial" w:cs="Arial"/>
          <w:b/>
          <w:bCs/>
          <w:color w:val="000000" w:themeColor="text1"/>
          <w:sz w:val="22"/>
          <w:szCs w:val="22"/>
          <w:u w:val="single"/>
        </w:rPr>
        <w:t>)</w:t>
      </w:r>
    </w:p>
    <w:p w14:paraId="63484C8D" w14:textId="77777777" w:rsidR="00C26A26" w:rsidRPr="006346EC" w:rsidRDefault="00C26A26" w:rsidP="00C26A26">
      <w:pPr>
        <w:rPr>
          <w:rFonts w:ascii="Arial" w:hAnsi="Arial" w:cs="Arial"/>
          <w:color w:val="000000" w:themeColor="text1"/>
          <w:sz w:val="22"/>
          <w:szCs w:val="22"/>
        </w:rPr>
      </w:pPr>
      <w:r w:rsidRPr="006346EC">
        <w:rPr>
          <w:rFonts w:ascii="Arial" w:hAnsi="Arial" w:cs="Arial"/>
          <w:color w:val="000000" w:themeColor="text1"/>
          <w:sz w:val="22"/>
          <w:szCs w:val="22"/>
        </w:rPr>
        <w:t>The Center of Microbiome Science (</w:t>
      </w:r>
      <w:proofErr w:type="spellStart"/>
      <w:r w:rsidRPr="006346EC">
        <w:rPr>
          <w:rFonts w:ascii="Arial" w:hAnsi="Arial" w:cs="Arial"/>
          <w:color w:val="000000" w:themeColor="text1"/>
          <w:sz w:val="22"/>
          <w:szCs w:val="22"/>
        </w:rPr>
        <w:t>CoMS</w:t>
      </w:r>
      <w:proofErr w:type="spellEnd"/>
      <w:r w:rsidRPr="006346EC">
        <w:rPr>
          <w:rFonts w:ascii="Arial" w:hAnsi="Arial" w:cs="Arial"/>
          <w:color w:val="000000" w:themeColor="text1"/>
          <w:sz w:val="22"/>
          <w:szCs w:val="22"/>
        </w:rPr>
        <w:t xml:space="preserve">) mission is to empower microbiome science for the design and prediction of microbial communities in animal, plant, human, environmental and engineered systems. </w:t>
      </w:r>
      <w:proofErr w:type="spellStart"/>
      <w:r w:rsidRPr="006346EC">
        <w:rPr>
          <w:rFonts w:ascii="Arial" w:hAnsi="Arial" w:cs="Arial"/>
          <w:color w:val="000000" w:themeColor="text1"/>
          <w:sz w:val="22"/>
          <w:szCs w:val="22"/>
        </w:rPr>
        <w:t>CoMS</w:t>
      </w:r>
      <w:proofErr w:type="spellEnd"/>
      <w:r w:rsidRPr="006346EC">
        <w:rPr>
          <w:rFonts w:ascii="Arial" w:hAnsi="Arial" w:cs="Arial"/>
          <w:color w:val="000000" w:themeColor="text1"/>
          <w:sz w:val="22"/>
          <w:szCs w:val="22"/>
        </w:rPr>
        <w:t xml:space="preserve"> is a highly interdisciplinary network of investigators at Ohio State University and Nationwide Children’s Hospital representing over 120 faculty from nine colleges. </w:t>
      </w:r>
      <w:proofErr w:type="spellStart"/>
      <w:r w:rsidRPr="006346EC">
        <w:rPr>
          <w:rFonts w:ascii="Arial" w:hAnsi="Arial" w:cs="Arial"/>
          <w:color w:val="000000" w:themeColor="text1"/>
          <w:sz w:val="22"/>
          <w:szCs w:val="22"/>
        </w:rPr>
        <w:t>CoMS</w:t>
      </w:r>
      <w:proofErr w:type="spellEnd"/>
      <w:r w:rsidRPr="006346EC">
        <w:rPr>
          <w:rFonts w:ascii="Arial" w:hAnsi="Arial" w:cs="Arial"/>
          <w:color w:val="000000" w:themeColor="text1"/>
          <w:sz w:val="22"/>
          <w:szCs w:val="22"/>
        </w:rPr>
        <w:t xml:space="preserve"> provides exceptional research resources, computational support, networking opportunities and training. This includes the Microbiome Platform which employs a microbiome navigator and three full-time data analysts to offer comprehensive support for microbiome science projects, from guidance on experimental design, to DNA / RNA extraction and sequencing</w:t>
      </w:r>
      <w:r w:rsidRPr="006346EC">
        <w:rPr>
          <w:rFonts w:ascii="Arial" w:hAnsi="Arial" w:cs="Arial"/>
          <w:b/>
          <w:bCs/>
          <w:color w:val="000000" w:themeColor="text1"/>
          <w:sz w:val="22"/>
          <w:szCs w:val="22"/>
        </w:rPr>
        <w:t>,</w:t>
      </w:r>
      <w:r w:rsidRPr="006346EC">
        <w:rPr>
          <w:rFonts w:ascii="Arial" w:hAnsi="Arial" w:cs="Arial"/>
          <w:color w:val="000000" w:themeColor="text1"/>
          <w:sz w:val="22"/>
          <w:szCs w:val="22"/>
        </w:rPr>
        <w:t xml:space="preserve"> to standard and custom analyses of microbiome data. </w:t>
      </w:r>
      <w:proofErr w:type="spellStart"/>
      <w:r w:rsidRPr="006346EC">
        <w:rPr>
          <w:rFonts w:ascii="Arial" w:hAnsi="Arial" w:cs="Arial"/>
          <w:color w:val="000000" w:themeColor="text1"/>
          <w:sz w:val="22"/>
          <w:szCs w:val="22"/>
        </w:rPr>
        <w:t>CoMS</w:t>
      </w:r>
      <w:proofErr w:type="spellEnd"/>
      <w:r w:rsidRPr="006346EC">
        <w:rPr>
          <w:rFonts w:ascii="Arial" w:hAnsi="Arial" w:cs="Arial"/>
          <w:color w:val="000000" w:themeColor="text1"/>
          <w:sz w:val="22"/>
          <w:szCs w:val="22"/>
        </w:rPr>
        <w:t xml:space="preserve"> also supports a Microbiome Science Training Track for graduate students, trainee-led working groups, over 70 bioinformatic applications available through the Ohio Supercomputer Center for microbiome analyses, and regular seminars, workshops and an annual symposium to feature cutting-edge advances in microbiome science. </w:t>
      </w:r>
    </w:p>
    <w:p w14:paraId="67AD9E07" w14:textId="77777777" w:rsidR="00C26A26" w:rsidRPr="006346EC" w:rsidRDefault="00C26A26" w:rsidP="00C26A26">
      <w:pPr>
        <w:rPr>
          <w:rFonts w:ascii="Arial" w:hAnsi="Arial" w:cs="Arial"/>
          <w:color w:val="000000" w:themeColor="text1"/>
          <w:sz w:val="22"/>
          <w:szCs w:val="22"/>
        </w:rPr>
      </w:pPr>
    </w:p>
    <w:p w14:paraId="0A946676" w14:textId="77777777" w:rsidR="00C26A26" w:rsidRPr="006346EC" w:rsidRDefault="00C26A26" w:rsidP="00C26A26">
      <w:pPr>
        <w:rPr>
          <w:rFonts w:ascii="Arial" w:hAnsi="Arial" w:cs="Arial"/>
          <w:b/>
          <w:bCs/>
          <w:color w:val="000000" w:themeColor="text1"/>
          <w:sz w:val="22"/>
          <w:szCs w:val="22"/>
          <w:u w:val="single"/>
        </w:rPr>
      </w:pPr>
      <w:r w:rsidRPr="006346EC">
        <w:rPr>
          <w:rFonts w:ascii="Arial" w:hAnsi="Arial" w:cs="Arial"/>
          <w:b/>
          <w:bCs/>
          <w:color w:val="000000" w:themeColor="text1"/>
          <w:sz w:val="22"/>
          <w:szCs w:val="22"/>
          <w:u w:val="single"/>
        </w:rPr>
        <w:t>Ohio State Center for RNA Biology</w:t>
      </w:r>
    </w:p>
    <w:p w14:paraId="7A2B7044" w14:textId="77777777" w:rsidR="00C26A26" w:rsidRPr="006346EC" w:rsidRDefault="00C26A26" w:rsidP="00C26A26">
      <w:pPr>
        <w:rPr>
          <w:rFonts w:ascii="Arial" w:hAnsi="Arial" w:cs="Arial"/>
          <w:color w:val="000000" w:themeColor="text1"/>
          <w:sz w:val="22"/>
          <w:szCs w:val="22"/>
        </w:rPr>
      </w:pPr>
      <w:r w:rsidRPr="006346EC">
        <w:rPr>
          <w:rFonts w:ascii="Arial" w:hAnsi="Arial" w:cs="Arial"/>
          <w:color w:val="000000" w:themeColor="text1"/>
          <w:sz w:val="22"/>
          <w:szCs w:val="22"/>
        </w:rPr>
        <w:t>The Center for RNA Biology is a cross-college interdisciplinary center that was formed to facilitate and promote state-of-the-art RNA-related basic and translational research. Through collaborations, education and outreach, the CRB will continue to promote RNA science at Ohio State and throughout the Midwest to address major societal challenges. The Center for RNA Biology is the home to </w:t>
      </w:r>
      <w:hyperlink r:id="rId9" w:tgtFrame="_blank" w:tooltip="https://urldefense.com/v3/__https://rna.osu.edu/people__;!!AU3bcTlGKuA!FwsqtzlFiRNyxLbZA7QKILnHbR-NZ_iezxh9HPUkvFBPR5KL90A7AZLUZUWvVQkCmpYkdDEZei6mDcfIX4BSmV6FYCEP$" w:history="1">
        <w:r w:rsidRPr="006346EC">
          <w:rPr>
            <w:rStyle w:val="Hyperlink"/>
            <w:rFonts w:ascii="Arial" w:hAnsi="Arial" w:cs="Arial"/>
            <w:color w:val="000000" w:themeColor="text1"/>
            <w:sz w:val="22"/>
            <w:szCs w:val="22"/>
          </w:rPr>
          <w:t>45 labs </w:t>
        </w:r>
      </w:hyperlink>
      <w:r w:rsidRPr="006346EC">
        <w:rPr>
          <w:rFonts w:ascii="Arial" w:hAnsi="Arial" w:cs="Arial"/>
          <w:color w:val="000000" w:themeColor="text1"/>
          <w:sz w:val="22"/>
          <w:szCs w:val="22"/>
        </w:rPr>
        <w:t xml:space="preserve">spanning five colleges and encompassing a broad range of RNA-related research. </w:t>
      </w:r>
    </w:p>
    <w:p w14:paraId="6F7ED1C4" w14:textId="77777777" w:rsidR="00C26A26" w:rsidRPr="006346EC" w:rsidRDefault="00C26A26" w:rsidP="00C26A26">
      <w:pPr>
        <w:rPr>
          <w:rFonts w:ascii="Arial" w:eastAsia="Aptos" w:hAnsi="Arial" w:cs="Arial"/>
          <w:b/>
          <w:bCs/>
          <w:color w:val="000000" w:themeColor="text1"/>
          <w:sz w:val="22"/>
          <w:szCs w:val="22"/>
          <w:u w:val="single"/>
        </w:rPr>
      </w:pPr>
    </w:p>
    <w:p w14:paraId="6F425026" w14:textId="77777777" w:rsidR="00C26A26" w:rsidRPr="006346EC" w:rsidRDefault="00C26A26" w:rsidP="00C26A26">
      <w:pPr>
        <w:rPr>
          <w:rFonts w:ascii="Arial" w:hAnsi="Arial" w:cs="Arial"/>
          <w:b/>
          <w:bCs/>
          <w:color w:val="000000" w:themeColor="text1"/>
          <w:sz w:val="22"/>
          <w:szCs w:val="22"/>
          <w:u w:val="single"/>
        </w:rPr>
      </w:pPr>
      <w:r w:rsidRPr="006346EC">
        <w:rPr>
          <w:rFonts w:ascii="Arial" w:hAnsi="Arial" w:cs="Arial"/>
          <w:b/>
          <w:bCs/>
          <w:color w:val="000000" w:themeColor="text1"/>
          <w:sz w:val="22"/>
          <w:szCs w:val="22"/>
          <w:u w:val="single"/>
        </w:rPr>
        <w:t>Ohio State Diabetes and Metabolism Research Center</w:t>
      </w:r>
    </w:p>
    <w:p w14:paraId="5E09BD0F" w14:textId="77777777" w:rsidR="00C26A26" w:rsidRPr="006346EC" w:rsidRDefault="00C26A26" w:rsidP="00C26A26">
      <w:pPr>
        <w:rPr>
          <w:rFonts w:ascii="Arial" w:hAnsi="Arial" w:cs="Arial"/>
          <w:color w:val="000000" w:themeColor="text1"/>
          <w:sz w:val="22"/>
          <w:szCs w:val="22"/>
        </w:rPr>
      </w:pPr>
      <w:r w:rsidRPr="006346EC">
        <w:rPr>
          <w:rFonts w:ascii="Arial" w:hAnsi="Arial" w:cs="Arial"/>
          <w:color w:val="000000" w:themeColor="text1"/>
          <w:sz w:val="22"/>
          <w:szCs w:val="22"/>
        </w:rPr>
        <w:t>The Ohio State University Wexner Medical Center’s Diabetes and Metabolism Research Center (DMRC) is a university-wide effort committed to conducting clinical trials and basic research that translate to managing, preventing and curing diabetes. Currently, the DMRC includes over 50 Principal Investigators, and their laboratories located within the Colleges of Medicine; Food, Agricultural and Environmental Sciences; Nursing; Public Health; Engineering; Dentistry; Veterinary Medicine; Department of Human Nutrition in the College of Education and Human Sciences; and Department of Chemistry and Biochemistry in the College of Arts and Sciences.</w:t>
      </w:r>
    </w:p>
    <w:p w14:paraId="36A6E102" w14:textId="77777777" w:rsidR="00C26A26" w:rsidRPr="006346EC" w:rsidRDefault="00C26A26" w:rsidP="00C26A26">
      <w:pPr>
        <w:rPr>
          <w:rFonts w:ascii="Arial" w:hAnsi="Arial" w:cs="Arial"/>
          <w:color w:val="000000" w:themeColor="text1"/>
          <w:sz w:val="22"/>
          <w:szCs w:val="22"/>
        </w:rPr>
      </w:pPr>
    </w:p>
    <w:p w14:paraId="3B12ED88" w14:textId="77777777" w:rsidR="00C26A26" w:rsidRPr="006346EC" w:rsidRDefault="00C26A26" w:rsidP="00C26A26">
      <w:pPr>
        <w:rPr>
          <w:rFonts w:ascii="Arial" w:hAnsi="Arial" w:cs="Arial"/>
          <w:b/>
          <w:bCs/>
          <w:color w:val="000000" w:themeColor="text1"/>
          <w:sz w:val="22"/>
          <w:szCs w:val="22"/>
          <w:u w:val="single"/>
        </w:rPr>
      </w:pPr>
      <w:r w:rsidRPr="006346EC">
        <w:rPr>
          <w:rFonts w:ascii="Arial" w:hAnsi="Arial" w:cs="Arial"/>
          <w:b/>
          <w:bCs/>
          <w:color w:val="000000" w:themeColor="text1"/>
          <w:sz w:val="22"/>
          <w:szCs w:val="22"/>
          <w:u w:val="single"/>
        </w:rPr>
        <w:t>Ohio State Drug Development Institute (DDI)</w:t>
      </w:r>
    </w:p>
    <w:p w14:paraId="602F5225" w14:textId="77777777" w:rsidR="00C26A26" w:rsidRPr="006346EC" w:rsidRDefault="00C26A26" w:rsidP="00C26A26">
      <w:pPr>
        <w:rPr>
          <w:rFonts w:ascii="Arial" w:hAnsi="Arial" w:cs="Arial"/>
          <w:color w:val="000000" w:themeColor="text1"/>
          <w:sz w:val="22"/>
          <w:szCs w:val="22"/>
        </w:rPr>
      </w:pPr>
      <w:r w:rsidRPr="006346EC">
        <w:rPr>
          <w:rFonts w:ascii="Arial" w:hAnsi="Arial" w:cs="Arial"/>
          <w:color w:val="000000" w:themeColor="text1"/>
          <w:sz w:val="22"/>
          <w:szCs w:val="22"/>
        </w:rPr>
        <w:t xml:space="preserve">The Ohio State Drug Development Institute (DDI) is a component of the OSUCCC – James, founded to address the translational development gap between discoveries made in the research lab and their conversion to innovative drug therapies and devices for patients. The DDI leverages world-class research and drug development resources at The Ohio State University to advance projects from early drug discovery through preclinical and clinical development. It coordinates and manages all the necessary early-stage drug </w:t>
      </w:r>
      <w:r w:rsidRPr="006346EC">
        <w:rPr>
          <w:rFonts w:ascii="Arial" w:hAnsi="Arial" w:cs="Arial"/>
          <w:color w:val="000000" w:themeColor="text1"/>
          <w:sz w:val="22"/>
          <w:szCs w:val="22"/>
        </w:rPr>
        <w:lastRenderedPageBreak/>
        <w:t>development activities to ensure the seamless integration of project teams and timely progression of projects. When appropriate, they partner with external contract research organizations to obtain critical data. The team includes scientists and leaders with pharmaceutical industry experience and partners with the Technology Commercialization Office (TCO) to facilitate patenting and establish commercialization plans and partnerships to facilitate the drug and device pipeline to the clinic.</w:t>
      </w:r>
    </w:p>
    <w:p w14:paraId="126F4A2F" w14:textId="77777777" w:rsidR="00C26A26" w:rsidRPr="006346EC" w:rsidRDefault="00C26A26" w:rsidP="00C26A26">
      <w:pPr>
        <w:rPr>
          <w:rFonts w:ascii="Arial" w:hAnsi="Arial" w:cs="Arial"/>
          <w:color w:val="000000" w:themeColor="text1"/>
          <w:sz w:val="22"/>
          <w:szCs w:val="22"/>
        </w:rPr>
      </w:pPr>
    </w:p>
    <w:p w14:paraId="527DA066" w14:textId="77777777" w:rsidR="00C26A26" w:rsidRPr="006346EC" w:rsidRDefault="00C26A26" w:rsidP="00C26A26">
      <w:pPr>
        <w:rPr>
          <w:rFonts w:ascii="Arial" w:hAnsi="Arial" w:cs="Arial"/>
          <w:b/>
          <w:bCs/>
          <w:color w:val="000000" w:themeColor="text1"/>
          <w:sz w:val="22"/>
          <w:szCs w:val="22"/>
          <w:u w:val="single"/>
        </w:rPr>
      </w:pPr>
      <w:r w:rsidRPr="006346EC">
        <w:rPr>
          <w:rFonts w:ascii="Arial" w:hAnsi="Arial" w:cs="Arial"/>
          <w:b/>
          <w:bCs/>
          <w:color w:val="000000" w:themeColor="text1"/>
          <w:sz w:val="22"/>
          <w:szCs w:val="22"/>
          <w:u w:val="single"/>
        </w:rPr>
        <w:t>Ohio State Electron Paramagnetic Resonance (EPR) Core Lab</w:t>
      </w:r>
    </w:p>
    <w:p w14:paraId="387F5327" w14:textId="77777777" w:rsidR="00C26A26" w:rsidRPr="006346EC" w:rsidRDefault="00C26A26" w:rsidP="00C26A26">
      <w:pPr>
        <w:rPr>
          <w:rFonts w:ascii="Arial" w:hAnsi="Arial" w:cs="Arial"/>
          <w:color w:val="000000" w:themeColor="text1"/>
          <w:sz w:val="22"/>
          <w:szCs w:val="22"/>
        </w:rPr>
      </w:pPr>
      <w:r w:rsidRPr="006346EC">
        <w:rPr>
          <w:rFonts w:ascii="Arial" w:hAnsi="Arial" w:cs="Arial"/>
          <w:color w:val="000000" w:themeColor="text1"/>
          <w:sz w:val="22"/>
          <w:szCs w:val="22"/>
        </w:rPr>
        <w:t>The Ohio State Electron Paramagnetic Resonance (EPR) Core Lab is a resource of Ohio State's Davis Heart and Lung Research Institute (DHLRI). The core offers magnetic resonance technology for detecting, quantifying and visualizing free radicals in biological systems. The method is routinely used to measure free radicals such as superoxide, hydroxyl and nitric oxide in chemical/biochemical biological systems. EPR also enables the measurement and imaging of physiologically pertinent tissue parameters such as tissue perfusion, oxygenation, metabolism, redox state, viability and pH using appropriate spin probes.</w:t>
      </w:r>
    </w:p>
    <w:p w14:paraId="07A5E0CE" w14:textId="77777777" w:rsidR="00C26A26" w:rsidRPr="006346EC" w:rsidRDefault="00C26A26" w:rsidP="00C26A26">
      <w:pPr>
        <w:rPr>
          <w:rFonts w:ascii="Arial" w:hAnsi="Arial" w:cs="Arial"/>
          <w:color w:val="000000" w:themeColor="text1"/>
          <w:sz w:val="22"/>
          <w:szCs w:val="22"/>
        </w:rPr>
      </w:pPr>
    </w:p>
    <w:p w14:paraId="01ADE5F4" w14:textId="77777777" w:rsidR="00C26A26" w:rsidRPr="006346EC" w:rsidRDefault="00C26A26" w:rsidP="00C26A26">
      <w:pPr>
        <w:rPr>
          <w:rFonts w:ascii="Arial" w:hAnsi="Arial" w:cs="Arial"/>
          <w:b/>
          <w:bCs/>
          <w:color w:val="000000" w:themeColor="text1"/>
          <w:sz w:val="22"/>
          <w:szCs w:val="22"/>
          <w:u w:val="single"/>
        </w:rPr>
      </w:pPr>
      <w:r w:rsidRPr="006346EC">
        <w:rPr>
          <w:rFonts w:ascii="Arial" w:hAnsi="Arial" w:cs="Arial"/>
          <w:b/>
          <w:bCs/>
          <w:color w:val="000000" w:themeColor="text1"/>
          <w:sz w:val="22"/>
          <w:szCs w:val="22"/>
          <w:u w:val="single"/>
        </w:rPr>
        <w:t>Ohio State Flow Cytometry Shared Resource</w:t>
      </w:r>
    </w:p>
    <w:p w14:paraId="075B6E14" w14:textId="77777777" w:rsidR="00C26A26" w:rsidRPr="006346EC" w:rsidRDefault="00C26A26" w:rsidP="00C26A26">
      <w:pPr>
        <w:rPr>
          <w:rFonts w:ascii="Arial" w:hAnsi="Arial" w:cs="Arial"/>
          <w:color w:val="000000" w:themeColor="text1"/>
          <w:sz w:val="22"/>
          <w:szCs w:val="22"/>
        </w:rPr>
      </w:pPr>
      <w:r w:rsidRPr="006346EC">
        <w:rPr>
          <w:rFonts w:ascii="Arial" w:hAnsi="Arial" w:cs="Arial"/>
          <w:color w:val="000000" w:themeColor="text1"/>
          <w:sz w:val="22"/>
          <w:szCs w:val="22"/>
        </w:rPr>
        <w:t>The Ohio State Flow Cytometry Shared Resource (FCSR) is a joint venture between the Comprehensive Cancer Center and the Davis Heart and Lung Research Institute. The FCSR provides support and access for all OSUCCC – James needs related to analytical cytometry (</w:t>
      </w:r>
      <w:proofErr w:type="spellStart"/>
      <w:r w:rsidRPr="006346EC">
        <w:rPr>
          <w:rFonts w:ascii="Arial" w:hAnsi="Arial" w:cs="Arial"/>
          <w:color w:val="000000" w:themeColor="text1"/>
          <w:sz w:val="22"/>
          <w:szCs w:val="22"/>
        </w:rPr>
        <w:t>Cytek</w:t>
      </w:r>
      <w:proofErr w:type="spellEnd"/>
      <w:r w:rsidRPr="006346EC">
        <w:rPr>
          <w:rFonts w:ascii="Arial" w:hAnsi="Arial" w:cs="Arial"/>
          <w:color w:val="000000" w:themeColor="text1"/>
          <w:sz w:val="22"/>
          <w:szCs w:val="22"/>
        </w:rPr>
        <w:t xml:space="preserve"> Northern Lights and </w:t>
      </w:r>
      <w:proofErr w:type="spellStart"/>
      <w:r w:rsidRPr="006346EC">
        <w:rPr>
          <w:rFonts w:ascii="Arial" w:hAnsi="Arial" w:cs="Arial"/>
          <w:color w:val="000000" w:themeColor="text1"/>
          <w:sz w:val="22"/>
          <w:szCs w:val="22"/>
        </w:rPr>
        <w:t>Fortessa</w:t>
      </w:r>
      <w:proofErr w:type="spellEnd"/>
      <w:r w:rsidRPr="006346EC">
        <w:rPr>
          <w:rFonts w:ascii="Arial" w:hAnsi="Arial" w:cs="Arial"/>
          <w:color w:val="000000" w:themeColor="text1"/>
          <w:sz w:val="22"/>
          <w:szCs w:val="22"/>
        </w:rPr>
        <w:t>) and cell sorting (</w:t>
      </w:r>
      <w:proofErr w:type="spellStart"/>
      <w:r w:rsidRPr="006346EC">
        <w:rPr>
          <w:rFonts w:ascii="Arial" w:hAnsi="Arial" w:cs="Arial"/>
          <w:color w:val="000000" w:themeColor="text1"/>
          <w:sz w:val="22"/>
          <w:szCs w:val="22"/>
        </w:rPr>
        <w:t>Cytek</w:t>
      </w:r>
      <w:proofErr w:type="spellEnd"/>
      <w:r w:rsidRPr="006346EC">
        <w:rPr>
          <w:rFonts w:ascii="Arial" w:hAnsi="Arial" w:cs="Arial"/>
          <w:color w:val="000000" w:themeColor="text1"/>
          <w:sz w:val="22"/>
          <w:szCs w:val="22"/>
        </w:rPr>
        <w:t xml:space="preserve"> CS and BD </w:t>
      </w:r>
      <w:proofErr w:type="spellStart"/>
      <w:r w:rsidRPr="006346EC">
        <w:rPr>
          <w:rFonts w:ascii="Arial" w:hAnsi="Arial" w:cs="Arial"/>
          <w:color w:val="000000" w:themeColor="text1"/>
          <w:sz w:val="22"/>
          <w:szCs w:val="22"/>
        </w:rPr>
        <w:t>FACSAriaII</w:t>
      </w:r>
      <w:proofErr w:type="spellEnd"/>
      <w:r w:rsidRPr="006346EC">
        <w:rPr>
          <w:rFonts w:ascii="Arial" w:hAnsi="Arial" w:cs="Arial"/>
          <w:color w:val="000000" w:themeColor="text1"/>
          <w:sz w:val="22"/>
          <w:szCs w:val="22"/>
        </w:rPr>
        <w:t>) on a 24/7/365 level. Current and developing technologies in the FSCR allow investigators to assess up to 28 biomarkers simultaneously using spectral cytometry analytical instrumentation and sort up to 64 biomarkers with equipment configured to meet the recommended guidelines of the International Society of Analytical Cytometry (ISAC) to meet BSL2+ conditions if needed. The FCSR also provides specialized services for imaging cytometry (</w:t>
      </w:r>
      <w:proofErr w:type="spellStart"/>
      <w:r w:rsidRPr="006346EC">
        <w:rPr>
          <w:rFonts w:ascii="Arial" w:hAnsi="Arial" w:cs="Arial"/>
          <w:color w:val="000000" w:themeColor="text1"/>
          <w:sz w:val="22"/>
          <w:szCs w:val="22"/>
        </w:rPr>
        <w:t>Amnis</w:t>
      </w:r>
      <w:proofErr w:type="spellEnd"/>
      <w:r w:rsidRPr="006346EC">
        <w:rPr>
          <w:rFonts w:ascii="Arial" w:hAnsi="Arial" w:cs="Arial"/>
          <w:color w:val="000000" w:themeColor="text1"/>
          <w:sz w:val="22"/>
          <w:szCs w:val="22"/>
        </w:rPr>
        <w:t xml:space="preserve"> </w:t>
      </w:r>
      <w:proofErr w:type="spellStart"/>
      <w:r w:rsidRPr="006346EC">
        <w:rPr>
          <w:rFonts w:ascii="Arial" w:hAnsi="Arial" w:cs="Arial"/>
          <w:color w:val="000000" w:themeColor="text1"/>
          <w:sz w:val="22"/>
          <w:szCs w:val="22"/>
        </w:rPr>
        <w:t>Imagestream</w:t>
      </w:r>
      <w:proofErr w:type="spellEnd"/>
      <w:r w:rsidRPr="006346EC">
        <w:rPr>
          <w:rFonts w:ascii="Arial" w:hAnsi="Arial" w:cs="Arial"/>
          <w:color w:val="000000" w:themeColor="text1"/>
          <w:sz w:val="22"/>
          <w:szCs w:val="22"/>
        </w:rPr>
        <w:t xml:space="preserve">) that images single cells in flow to gain signal localization information while simultaneously performing traditional flow cytometry measurements. Several educational opportunities are available for researchers to learn to use and apply flow cytometry. These include scientific seminars, cancer-specific meetings, instrumentation overviews, application work- shops and full-day training sessions. OSUCCC – </w:t>
      </w:r>
      <w:proofErr w:type="gramStart"/>
      <w:r w:rsidRPr="006346EC">
        <w:rPr>
          <w:rFonts w:ascii="Arial" w:hAnsi="Arial" w:cs="Arial"/>
          <w:color w:val="000000" w:themeColor="text1"/>
          <w:sz w:val="22"/>
          <w:szCs w:val="22"/>
        </w:rPr>
        <w:t>James</w:t>
      </w:r>
      <w:proofErr w:type="gramEnd"/>
      <w:r w:rsidRPr="006346EC">
        <w:rPr>
          <w:rFonts w:ascii="Arial" w:hAnsi="Arial" w:cs="Arial"/>
          <w:color w:val="000000" w:themeColor="text1"/>
          <w:sz w:val="22"/>
          <w:szCs w:val="22"/>
        </w:rPr>
        <w:t xml:space="preserve"> members can receive lab focused training and troubleshooting upon request for personalized support as needed.</w:t>
      </w:r>
    </w:p>
    <w:p w14:paraId="599A9DBA" w14:textId="77777777" w:rsidR="00C26A26" w:rsidRPr="006346EC" w:rsidRDefault="00C26A26" w:rsidP="00C26A26">
      <w:pPr>
        <w:rPr>
          <w:rFonts w:ascii="Arial" w:hAnsi="Arial" w:cs="Arial"/>
          <w:color w:val="000000" w:themeColor="text1"/>
          <w:sz w:val="22"/>
          <w:szCs w:val="22"/>
        </w:rPr>
      </w:pPr>
    </w:p>
    <w:p w14:paraId="1BA1DCB4" w14:textId="77777777" w:rsidR="00C26A26" w:rsidRPr="006346EC" w:rsidRDefault="00C26A26" w:rsidP="00C26A26">
      <w:pPr>
        <w:rPr>
          <w:rFonts w:ascii="Arial" w:hAnsi="Arial" w:cs="Arial"/>
          <w:b/>
          <w:bCs/>
          <w:color w:val="000000" w:themeColor="text1"/>
          <w:sz w:val="22"/>
          <w:szCs w:val="22"/>
          <w:u w:val="single"/>
        </w:rPr>
      </w:pPr>
      <w:r>
        <w:rPr>
          <w:rFonts w:ascii="Arial" w:hAnsi="Arial" w:cs="Arial"/>
          <w:b/>
          <w:bCs/>
          <w:color w:val="000000" w:themeColor="text1"/>
          <w:sz w:val="22"/>
          <w:szCs w:val="22"/>
          <w:u w:val="single"/>
        </w:rPr>
        <w:t xml:space="preserve">Ohio State </w:t>
      </w:r>
      <w:r w:rsidRPr="006346EC">
        <w:rPr>
          <w:rFonts w:ascii="Arial" w:hAnsi="Arial" w:cs="Arial"/>
          <w:b/>
          <w:bCs/>
          <w:color w:val="000000" w:themeColor="text1"/>
          <w:sz w:val="22"/>
          <w:szCs w:val="22"/>
          <w:u w:val="single"/>
        </w:rPr>
        <w:t>Gene Therapy Institute</w:t>
      </w:r>
    </w:p>
    <w:p w14:paraId="2B9C9E6A" w14:textId="77777777" w:rsidR="00C26A26" w:rsidRPr="006346EC" w:rsidRDefault="00C26A26" w:rsidP="00C26A26">
      <w:pPr>
        <w:rPr>
          <w:rFonts w:ascii="Arial" w:hAnsi="Arial" w:cs="Arial"/>
          <w:color w:val="000000" w:themeColor="text1"/>
          <w:sz w:val="22"/>
          <w:szCs w:val="22"/>
        </w:rPr>
      </w:pPr>
      <w:r w:rsidRPr="006346EC">
        <w:rPr>
          <w:rFonts w:ascii="Arial" w:hAnsi="Arial" w:cs="Arial"/>
          <w:color w:val="000000" w:themeColor="text1"/>
          <w:sz w:val="22"/>
          <w:szCs w:val="22"/>
        </w:rPr>
        <w:t xml:space="preserve">Founded in April 2022, Ohio State’s Gene Therapy Institute (GTI) coordinates existing strengths to accelerate the expansion of gene therapies. The GTI brings together more than 50 faculty across the colleges of Medicine, Arts and Sciences, Engineering, Pharmacy, Veterinary Medicine, Law and Business to an interdisciplinary institute that supports basic research innovation, translational science, clinical applications and commercialization of new technologies related to gene therapy. Ohio State holds one of the largest first-in-human clinical trial portfolios internationally with more than 10 active trials, more than $20 million in active NIH support, including $4.8 million for translational Clustered Regularly Interspaced Short Palindromic Repeats (CRISPR)-gene therapy research and collaborates with key industry partners including Battelle, Medtronic, Bayer and others. The founding leadership, including Institute Director and Chair of Neurological Surgery Dr. Russell Lonser, MD and Chief Scientific Officer Dr. Krystof Bankiewicz, MD, PhD, bring world-renowned expertise in AAV-based therapies for neurological disease, device development and gene therapy clinical trial success. Core GTI research faculty labs are in the recently opened </w:t>
      </w:r>
      <w:proofErr w:type="spellStart"/>
      <w:r w:rsidRPr="006346EC">
        <w:rPr>
          <w:rFonts w:ascii="Arial" w:hAnsi="Arial" w:cs="Arial"/>
          <w:color w:val="000000" w:themeColor="text1"/>
          <w:sz w:val="22"/>
          <w:szCs w:val="22"/>
        </w:rPr>
        <w:t>Pelotonia</w:t>
      </w:r>
      <w:proofErr w:type="spellEnd"/>
      <w:r w:rsidRPr="006346EC">
        <w:rPr>
          <w:rFonts w:ascii="Arial" w:hAnsi="Arial" w:cs="Arial"/>
          <w:color w:val="000000" w:themeColor="text1"/>
          <w:sz w:val="22"/>
          <w:szCs w:val="22"/>
        </w:rPr>
        <w:t xml:space="preserve"> Research Center, where the institute fills more than 13,000 square feet of wet laboratory bench space and support rooms, plus core facilities and office space. </w:t>
      </w:r>
    </w:p>
    <w:p w14:paraId="327604C0" w14:textId="77777777" w:rsidR="00C26A26" w:rsidRPr="006346EC" w:rsidRDefault="00C26A26" w:rsidP="00C26A26">
      <w:pPr>
        <w:rPr>
          <w:rFonts w:ascii="Arial" w:hAnsi="Arial" w:cs="Arial"/>
          <w:color w:val="000000" w:themeColor="text1"/>
          <w:sz w:val="22"/>
          <w:szCs w:val="22"/>
        </w:rPr>
      </w:pPr>
    </w:p>
    <w:p w14:paraId="74A11516" w14:textId="77777777" w:rsidR="00C26A26" w:rsidRPr="006346EC" w:rsidRDefault="00C26A26" w:rsidP="00C26A26">
      <w:pPr>
        <w:rPr>
          <w:rFonts w:ascii="Arial" w:hAnsi="Arial" w:cs="Arial"/>
          <w:b/>
          <w:bCs/>
          <w:color w:val="000000" w:themeColor="text1"/>
          <w:sz w:val="22"/>
          <w:szCs w:val="22"/>
          <w:u w:val="single"/>
        </w:rPr>
      </w:pPr>
      <w:r>
        <w:rPr>
          <w:rFonts w:ascii="Arial" w:hAnsi="Arial" w:cs="Arial"/>
          <w:b/>
          <w:bCs/>
          <w:color w:val="000000" w:themeColor="text1"/>
          <w:sz w:val="22"/>
          <w:szCs w:val="22"/>
          <w:u w:val="single"/>
        </w:rPr>
        <w:t xml:space="preserve">Ohio State </w:t>
      </w:r>
      <w:r w:rsidRPr="006346EC">
        <w:rPr>
          <w:rFonts w:ascii="Arial" w:hAnsi="Arial" w:cs="Arial"/>
          <w:b/>
          <w:bCs/>
          <w:color w:val="000000" w:themeColor="text1"/>
          <w:sz w:val="22"/>
          <w:szCs w:val="22"/>
          <w:u w:val="single"/>
        </w:rPr>
        <w:t>Infectious Diseases Institute</w:t>
      </w:r>
    </w:p>
    <w:p w14:paraId="62B2D6F0" w14:textId="77777777" w:rsidR="00C26A26" w:rsidRPr="006346EC" w:rsidRDefault="00C26A26" w:rsidP="00C26A26">
      <w:pPr>
        <w:rPr>
          <w:rFonts w:ascii="Arial" w:hAnsi="Arial" w:cs="Arial"/>
          <w:color w:val="000000" w:themeColor="text1"/>
          <w:sz w:val="22"/>
          <w:szCs w:val="22"/>
        </w:rPr>
      </w:pPr>
      <w:r w:rsidRPr="006346EC">
        <w:rPr>
          <w:rFonts w:ascii="Arial" w:hAnsi="Arial" w:cs="Arial"/>
          <w:color w:val="000000" w:themeColor="text1"/>
          <w:sz w:val="22"/>
          <w:szCs w:val="22"/>
        </w:rPr>
        <w:t>The Infectious Diseases Institute at Ohio State will generate solutions to the detrimental effects of microbes on the health of humans, animals, plants and the environment for the benefit of society. Programmatic areas include Antimicrobial Resistance; Ecology, Epidemiology and Population Health; Host Defense and Microbial Biology; Microbial Communities; and Viruses and Emerging Pathogens.</w:t>
      </w:r>
    </w:p>
    <w:p w14:paraId="01ECAF40" w14:textId="77777777" w:rsidR="00C26A26" w:rsidRPr="006346EC" w:rsidRDefault="00C26A26" w:rsidP="00C26A26">
      <w:pPr>
        <w:rPr>
          <w:rFonts w:ascii="Arial" w:hAnsi="Arial" w:cs="Arial"/>
          <w:color w:val="000000" w:themeColor="text1"/>
          <w:sz w:val="22"/>
          <w:szCs w:val="22"/>
        </w:rPr>
      </w:pPr>
    </w:p>
    <w:p w14:paraId="700BD99A" w14:textId="77777777" w:rsidR="00C26A26" w:rsidRPr="006346EC" w:rsidRDefault="00C26A26" w:rsidP="00C26A26">
      <w:pPr>
        <w:autoSpaceDE w:val="0"/>
        <w:autoSpaceDN w:val="0"/>
        <w:adjustRightInd w:val="0"/>
        <w:rPr>
          <w:rFonts w:ascii="Arial" w:hAnsi="Arial" w:cs="Arial"/>
          <w:b/>
          <w:iCs/>
          <w:color w:val="000000" w:themeColor="text1"/>
          <w:sz w:val="22"/>
          <w:szCs w:val="22"/>
          <w:u w:val="single"/>
        </w:rPr>
      </w:pPr>
      <w:r w:rsidRPr="006346EC">
        <w:rPr>
          <w:rFonts w:ascii="Arial" w:hAnsi="Arial" w:cs="Arial"/>
          <w:b/>
          <w:iCs/>
          <w:color w:val="000000" w:themeColor="text1"/>
          <w:sz w:val="22"/>
          <w:szCs w:val="22"/>
          <w:u w:val="single"/>
        </w:rPr>
        <w:t>College of Nursing Research Centers</w:t>
      </w:r>
    </w:p>
    <w:p w14:paraId="11A7E15C" w14:textId="77777777" w:rsidR="00C26A26" w:rsidRPr="006346EC" w:rsidRDefault="00C26A26" w:rsidP="00C26A26">
      <w:pPr>
        <w:autoSpaceDE w:val="0"/>
        <w:autoSpaceDN w:val="0"/>
        <w:adjustRightInd w:val="0"/>
        <w:rPr>
          <w:rFonts w:ascii="Arial" w:hAnsi="Arial" w:cs="Arial"/>
          <w:color w:val="000000" w:themeColor="text1"/>
          <w:sz w:val="22"/>
          <w:szCs w:val="22"/>
        </w:rPr>
      </w:pPr>
      <w:r w:rsidRPr="006346EC">
        <w:rPr>
          <w:rFonts w:ascii="Arial" w:hAnsi="Arial" w:cs="Arial"/>
          <w:color w:val="000000" w:themeColor="text1"/>
          <w:sz w:val="22"/>
          <w:szCs w:val="22"/>
        </w:rPr>
        <w:t xml:space="preserve">Faculty research and scholarly activities are organized around two research centers led by senior, NIH-funded researchers. </w:t>
      </w:r>
      <w:r w:rsidRPr="006346EC">
        <w:rPr>
          <w:rFonts w:ascii="Arial" w:hAnsi="Arial" w:cs="Arial"/>
          <w:color w:val="000000" w:themeColor="text1"/>
          <w:sz w:val="22"/>
          <w:szCs w:val="22"/>
          <w:lang w:eastAsia="zh-CN"/>
        </w:rPr>
        <w:t>PhD students are actively involved on faculty-led research teams either as student research assistants or in research residency experiences.</w:t>
      </w:r>
    </w:p>
    <w:p w14:paraId="707D4CED" w14:textId="77777777" w:rsidR="00C26A26" w:rsidRPr="006346EC" w:rsidRDefault="00C26A26" w:rsidP="00C26A26">
      <w:pPr>
        <w:autoSpaceDE w:val="0"/>
        <w:autoSpaceDN w:val="0"/>
        <w:adjustRightInd w:val="0"/>
        <w:rPr>
          <w:rFonts w:ascii="Arial" w:hAnsi="Arial" w:cs="Arial"/>
          <w:color w:val="000000" w:themeColor="text1"/>
          <w:sz w:val="22"/>
          <w:szCs w:val="22"/>
        </w:rPr>
      </w:pPr>
    </w:p>
    <w:p w14:paraId="11FD1D62" w14:textId="77777777" w:rsidR="00C26A26" w:rsidRPr="006346EC" w:rsidRDefault="00C26A26" w:rsidP="00C26A26">
      <w:pPr>
        <w:rPr>
          <w:rFonts w:ascii="Arial" w:hAnsi="Arial" w:cs="Arial"/>
          <w:color w:val="000000" w:themeColor="text1"/>
          <w:sz w:val="22"/>
          <w:szCs w:val="22"/>
        </w:rPr>
      </w:pPr>
    </w:p>
    <w:p w14:paraId="365CE0B0" w14:textId="77777777" w:rsidR="00C26A26" w:rsidRPr="006346EC" w:rsidRDefault="00C26A26" w:rsidP="00C26A26">
      <w:pPr>
        <w:rPr>
          <w:rFonts w:ascii="Arial" w:hAnsi="Arial" w:cs="Arial"/>
          <w:b/>
          <w:bCs/>
          <w:color w:val="000000" w:themeColor="text1"/>
          <w:sz w:val="22"/>
          <w:szCs w:val="22"/>
          <w:u w:val="single"/>
        </w:rPr>
      </w:pPr>
      <w:r w:rsidRPr="006346EC">
        <w:rPr>
          <w:rFonts w:ascii="Arial" w:hAnsi="Arial" w:cs="Arial"/>
          <w:b/>
          <w:bCs/>
          <w:color w:val="000000" w:themeColor="text1"/>
          <w:sz w:val="22"/>
          <w:szCs w:val="22"/>
          <w:u w:val="single"/>
        </w:rPr>
        <w:t>Ohio State Molecular Cytogenetics Shared Resource</w:t>
      </w:r>
    </w:p>
    <w:p w14:paraId="2424A099" w14:textId="77777777" w:rsidR="00C26A26" w:rsidRPr="006346EC" w:rsidRDefault="00C26A26" w:rsidP="00C26A26">
      <w:pPr>
        <w:rPr>
          <w:rFonts w:ascii="Arial" w:hAnsi="Arial" w:cs="Arial"/>
          <w:color w:val="000000" w:themeColor="text1"/>
          <w:sz w:val="22"/>
          <w:szCs w:val="22"/>
        </w:rPr>
      </w:pPr>
      <w:r w:rsidRPr="006346EC">
        <w:rPr>
          <w:rFonts w:ascii="Arial" w:hAnsi="Arial" w:cs="Arial"/>
          <w:color w:val="000000" w:themeColor="text1"/>
          <w:sz w:val="22"/>
          <w:szCs w:val="22"/>
        </w:rPr>
        <w:t>The Molecular Cytogenetics Shared Resource provides molecular cytogenetic technology and classical banded metaphase cytogenetics. Services include metaphase karyotyping of human and mouse tissue, fluorescence in situ hybridization (FISH) using many different types of probes and tissues and multicolor spectral karyotyping (SKY).</w:t>
      </w:r>
    </w:p>
    <w:p w14:paraId="2C31CD33" w14:textId="77777777" w:rsidR="00C26A26" w:rsidRPr="006346EC" w:rsidRDefault="00C26A26" w:rsidP="00C26A26">
      <w:pPr>
        <w:rPr>
          <w:rFonts w:ascii="Arial" w:hAnsi="Arial" w:cs="Arial"/>
          <w:color w:val="000000" w:themeColor="text1"/>
          <w:sz w:val="22"/>
          <w:szCs w:val="22"/>
        </w:rPr>
      </w:pPr>
    </w:p>
    <w:p w14:paraId="0D99D92C" w14:textId="77777777" w:rsidR="00C26A26" w:rsidRPr="006346EC" w:rsidRDefault="00C26A26" w:rsidP="00C26A26">
      <w:pPr>
        <w:rPr>
          <w:rFonts w:ascii="Arial" w:hAnsi="Arial" w:cs="Arial"/>
          <w:b/>
          <w:bCs/>
          <w:color w:val="000000" w:themeColor="text1"/>
          <w:sz w:val="22"/>
          <w:szCs w:val="22"/>
          <w:u w:val="single"/>
        </w:rPr>
      </w:pPr>
      <w:r w:rsidRPr="006346EC">
        <w:rPr>
          <w:rFonts w:ascii="Arial" w:hAnsi="Arial" w:cs="Arial"/>
          <w:b/>
          <w:bCs/>
          <w:color w:val="000000" w:themeColor="text1"/>
          <w:sz w:val="22"/>
          <w:szCs w:val="22"/>
          <w:u w:val="single"/>
        </w:rPr>
        <w:t>Ohio State Neuroscience Core Facilities</w:t>
      </w:r>
    </w:p>
    <w:p w14:paraId="622D36F0" w14:textId="77777777" w:rsidR="00C26A26" w:rsidRPr="006346EC" w:rsidRDefault="00C26A26" w:rsidP="00C26A26">
      <w:pPr>
        <w:rPr>
          <w:rFonts w:ascii="Arial" w:hAnsi="Arial" w:cs="Arial"/>
          <w:color w:val="000000" w:themeColor="text1"/>
          <w:sz w:val="22"/>
          <w:szCs w:val="22"/>
        </w:rPr>
      </w:pPr>
      <w:r w:rsidRPr="006346EC">
        <w:rPr>
          <w:rFonts w:ascii="Arial" w:hAnsi="Arial" w:cs="Arial"/>
          <w:color w:val="000000" w:themeColor="text1"/>
          <w:sz w:val="22"/>
          <w:szCs w:val="22"/>
        </w:rPr>
        <w:t>The Department of Neuroscience Cores for preclinical neurological studies include the following:</w:t>
      </w:r>
    </w:p>
    <w:p w14:paraId="7BA179BD" w14:textId="77777777" w:rsidR="00C26A26" w:rsidRPr="000405E8" w:rsidRDefault="00C26A26" w:rsidP="00C26A26">
      <w:pPr>
        <w:pStyle w:val="ListParagraph"/>
        <w:numPr>
          <w:ilvl w:val="0"/>
          <w:numId w:val="8"/>
        </w:numPr>
        <w:rPr>
          <w:rFonts w:ascii="Arial" w:hAnsi="Arial" w:cs="Arial"/>
          <w:color w:val="000000" w:themeColor="text1"/>
          <w:sz w:val="22"/>
          <w:szCs w:val="22"/>
        </w:rPr>
      </w:pPr>
      <w:r w:rsidRPr="000405E8">
        <w:rPr>
          <w:rFonts w:ascii="Arial" w:hAnsi="Arial" w:cs="Arial"/>
          <w:b/>
          <w:bCs/>
          <w:color w:val="000000" w:themeColor="text1"/>
          <w:sz w:val="22"/>
          <w:szCs w:val="22"/>
        </w:rPr>
        <w:t>The Behavior Core</w:t>
      </w:r>
      <w:r w:rsidRPr="000405E8">
        <w:rPr>
          <w:rFonts w:ascii="Arial" w:hAnsi="Arial" w:cs="Arial"/>
          <w:color w:val="000000" w:themeColor="text1"/>
          <w:sz w:val="22"/>
          <w:szCs w:val="22"/>
        </w:rPr>
        <w:t xml:space="preserve"> provides expertise and services for comprehensive phenotyping of mouse models using a battery of standard behavioral paradigms. The Core centralizes behavioral assessment facilities and expertise for neuroscience investigators, ensuring that behavioral testing is performed expertly and adheres to best practices in the field. Assessments provide range from sensorimotor, learning and memory, to motivated behavioral measures.</w:t>
      </w:r>
    </w:p>
    <w:p w14:paraId="7CC83EB8" w14:textId="77777777" w:rsidR="00C26A26" w:rsidRPr="000405E8" w:rsidRDefault="00C26A26" w:rsidP="00C26A26">
      <w:pPr>
        <w:pStyle w:val="ListParagraph"/>
        <w:numPr>
          <w:ilvl w:val="0"/>
          <w:numId w:val="8"/>
        </w:numPr>
        <w:rPr>
          <w:rFonts w:ascii="Arial" w:hAnsi="Arial" w:cs="Arial"/>
          <w:color w:val="000000" w:themeColor="text1"/>
          <w:sz w:val="22"/>
          <w:szCs w:val="22"/>
        </w:rPr>
      </w:pPr>
      <w:r w:rsidRPr="000405E8">
        <w:rPr>
          <w:rFonts w:ascii="Arial" w:hAnsi="Arial" w:cs="Arial"/>
          <w:b/>
          <w:bCs/>
          <w:color w:val="000000" w:themeColor="text1"/>
          <w:sz w:val="22"/>
          <w:szCs w:val="22"/>
        </w:rPr>
        <w:t>The Electrophysiology Core</w:t>
      </w:r>
      <w:r w:rsidRPr="000405E8">
        <w:rPr>
          <w:rFonts w:ascii="Arial" w:hAnsi="Arial" w:cs="Arial"/>
          <w:color w:val="000000" w:themeColor="text1"/>
          <w:sz w:val="22"/>
          <w:szCs w:val="22"/>
        </w:rPr>
        <w:t xml:space="preserve"> expands the capabilities of neuroscience research on campus by making available specialized expertise, equipment and assistance to support electrophysiological analyses of signal transduction and synaptic function in cultured cells, tissue slices and zebrafish embryos.</w:t>
      </w:r>
    </w:p>
    <w:p w14:paraId="291B0AD0" w14:textId="77777777" w:rsidR="00C26A26" w:rsidRPr="000405E8" w:rsidRDefault="00C26A26" w:rsidP="00C26A26">
      <w:pPr>
        <w:pStyle w:val="ListParagraph"/>
        <w:numPr>
          <w:ilvl w:val="0"/>
          <w:numId w:val="8"/>
        </w:numPr>
        <w:rPr>
          <w:rFonts w:ascii="Arial" w:hAnsi="Arial" w:cs="Arial"/>
          <w:color w:val="000000" w:themeColor="text1"/>
          <w:sz w:val="22"/>
          <w:szCs w:val="22"/>
        </w:rPr>
      </w:pPr>
      <w:r w:rsidRPr="000405E8">
        <w:rPr>
          <w:rFonts w:ascii="Arial" w:hAnsi="Arial" w:cs="Arial"/>
          <w:b/>
          <w:bCs/>
          <w:color w:val="000000" w:themeColor="text1"/>
          <w:sz w:val="22"/>
          <w:szCs w:val="22"/>
        </w:rPr>
        <w:t xml:space="preserve">The Main Campus Imaging Core </w:t>
      </w:r>
      <w:r w:rsidRPr="000405E8">
        <w:rPr>
          <w:rFonts w:ascii="Arial" w:hAnsi="Arial" w:cs="Arial"/>
          <w:color w:val="000000" w:themeColor="text1"/>
          <w:sz w:val="22"/>
          <w:szCs w:val="22"/>
        </w:rPr>
        <w:t>provides training, expertise and equipment to perform fluorescence confocal microscopy. This facility provides well-maintained point-scanning confocal and multiphoton microscopes and provides training to users to establish independent imaging experiments.</w:t>
      </w:r>
    </w:p>
    <w:p w14:paraId="0D7A8BAE" w14:textId="77777777" w:rsidR="00C26A26" w:rsidRPr="000405E8" w:rsidRDefault="00C26A26" w:rsidP="00C26A26">
      <w:pPr>
        <w:pStyle w:val="ListParagraph"/>
        <w:numPr>
          <w:ilvl w:val="0"/>
          <w:numId w:val="8"/>
        </w:numPr>
        <w:rPr>
          <w:rFonts w:ascii="Arial" w:hAnsi="Arial" w:cs="Arial"/>
          <w:color w:val="000000" w:themeColor="text1"/>
          <w:sz w:val="22"/>
          <w:szCs w:val="22"/>
        </w:rPr>
      </w:pPr>
      <w:r w:rsidRPr="000405E8">
        <w:rPr>
          <w:rFonts w:ascii="Arial" w:hAnsi="Arial" w:cs="Arial"/>
          <w:b/>
          <w:bCs/>
          <w:color w:val="000000" w:themeColor="text1"/>
          <w:sz w:val="22"/>
          <w:szCs w:val="22"/>
        </w:rPr>
        <w:t xml:space="preserve">The West Campus Imaging Core </w:t>
      </w:r>
      <w:r w:rsidRPr="000405E8">
        <w:rPr>
          <w:rFonts w:ascii="Arial" w:hAnsi="Arial" w:cs="Arial"/>
          <w:color w:val="000000" w:themeColor="text1"/>
          <w:sz w:val="22"/>
          <w:szCs w:val="22"/>
        </w:rPr>
        <w:t>provides neuroscience researchers with the training, expertise and equipment that they need to perform fluorescence confocal microscopy of cells, tissues and zebrafish embryos in the living and fixed state. We provide access to well-maintained wide-field, point-scanning and spinning disk confocal microscopes, as well as expert consultation and assistance with design and execution of imaging experiments.</w:t>
      </w:r>
    </w:p>
    <w:p w14:paraId="314D5BF1" w14:textId="77777777" w:rsidR="00C26A26" w:rsidRPr="000405E8" w:rsidRDefault="00C26A26" w:rsidP="00C26A26">
      <w:pPr>
        <w:pStyle w:val="ListParagraph"/>
        <w:numPr>
          <w:ilvl w:val="0"/>
          <w:numId w:val="8"/>
        </w:numPr>
        <w:rPr>
          <w:rFonts w:ascii="Arial" w:hAnsi="Arial" w:cs="Arial"/>
          <w:color w:val="000000" w:themeColor="text1"/>
          <w:sz w:val="22"/>
          <w:szCs w:val="22"/>
        </w:rPr>
      </w:pPr>
      <w:r w:rsidRPr="000405E8">
        <w:rPr>
          <w:rFonts w:ascii="Arial" w:hAnsi="Arial" w:cs="Arial"/>
          <w:b/>
          <w:bCs/>
          <w:color w:val="000000" w:themeColor="text1"/>
          <w:sz w:val="22"/>
          <w:szCs w:val="22"/>
        </w:rPr>
        <w:t xml:space="preserve">The Single Cell Omics Core </w:t>
      </w:r>
      <w:r w:rsidRPr="000405E8">
        <w:rPr>
          <w:rFonts w:ascii="Arial" w:hAnsi="Arial" w:cs="Arial"/>
          <w:color w:val="000000" w:themeColor="text1"/>
          <w:sz w:val="22"/>
          <w:szCs w:val="22"/>
        </w:rPr>
        <w:t xml:space="preserve">facilitates the generation and analyses of single cell libraries to produce publication quality data. Expertise with </w:t>
      </w:r>
      <w:proofErr w:type="spellStart"/>
      <w:r w:rsidRPr="000405E8">
        <w:rPr>
          <w:rFonts w:ascii="Arial" w:hAnsi="Arial" w:cs="Arial"/>
          <w:color w:val="000000" w:themeColor="text1"/>
          <w:sz w:val="22"/>
          <w:szCs w:val="22"/>
        </w:rPr>
        <w:t>scRNA</w:t>
      </w:r>
      <w:proofErr w:type="spellEnd"/>
      <w:r w:rsidRPr="000405E8">
        <w:rPr>
          <w:rFonts w:ascii="Arial" w:hAnsi="Arial" w:cs="Arial"/>
          <w:color w:val="000000" w:themeColor="text1"/>
          <w:sz w:val="22"/>
          <w:szCs w:val="22"/>
        </w:rPr>
        <w:t xml:space="preserve">-seq, </w:t>
      </w:r>
      <w:proofErr w:type="spellStart"/>
      <w:r w:rsidRPr="000405E8">
        <w:rPr>
          <w:rFonts w:ascii="Arial" w:hAnsi="Arial" w:cs="Arial"/>
          <w:color w:val="000000" w:themeColor="text1"/>
          <w:sz w:val="22"/>
          <w:szCs w:val="22"/>
        </w:rPr>
        <w:t>scATAC</w:t>
      </w:r>
      <w:proofErr w:type="spellEnd"/>
      <w:r w:rsidRPr="000405E8">
        <w:rPr>
          <w:rFonts w:ascii="Arial" w:hAnsi="Arial" w:cs="Arial"/>
          <w:color w:val="000000" w:themeColor="text1"/>
          <w:sz w:val="22"/>
          <w:szCs w:val="22"/>
        </w:rPr>
        <w:t>-seq and multi-omics.</w:t>
      </w:r>
    </w:p>
    <w:p w14:paraId="7FCCFC32" w14:textId="77777777" w:rsidR="00C26A26" w:rsidRPr="000405E8" w:rsidRDefault="00C26A26" w:rsidP="00C26A26">
      <w:pPr>
        <w:pStyle w:val="ListParagraph"/>
        <w:numPr>
          <w:ilvl w:val="0"/>
          <w:numId w:val="8"/>
        </w:numPr>
        <w:rPr>
          <w:rFonts w:ascii="Arial" w:hAnsi="Arial" w:cs="Arial"/>
          <w:color w:val="000000" w:themeColor="text1"/>
          <w:sz w:val="22"/>
          <w:szCs w:val="22"/>
        </w:rPr>
      </w:pPr>
      <w:r w:rsidRPr="000405E8">
        <w:rPr>
          <w:rFonts w:ascii="Arial" w:hAnsi="Arial" w:cs="Arial"/>
          <w:b/>
          <w:bCs/>
          <w:color w:val="000000" w:themeColor="text1"/>
          <w:sz w:val="22"/>
          <w:szCs w:val="22"/>
        </w:rPr>
        <w:t xml:space="preserve">The Circadian Timing Core </w:t>
      </w:r>
      <w:r w:rsidRPr="000405E8">
        <w:rPr>
          <w:rFonts w:ascii="Arial" w:hAnsi="Arial" w:cs="Arial"/>
          <w:color w:val="000000" w:themeColor="text1"/>
          <w:sz w:val="22"/>
          <w:szCs w:val="22"/>
        </w:rPr>
        <w:t>provides equipment and expertise for the examination of mammalian circadian timing systems. The core consists of equipment for behavioral-based profiling of mouse models using locomotor activity and/or core-body temperature as the clock read-out. Equipment is also available for luminometry-based profiling of tissues samples and dispersed cultures.</w:t>
      </w:r>
    </w:p>
    <w:p w14:paraId="75F40D96" w14:textId="77777777" w:rsidR="00C26A26" w:rsidRPr="006346EC" w:rsidRDefault="00C26A26" w:rsidP="00C26A26">
      <w:pPr>
        <w:rPr>
          <w:rFonts w:ascii="Arial" w:hAnsi="Arial" w:cs="Arial"/>
          <w:color w:val="000000" w:themeColor="text1"/>
          <w:sz w:val="22"/>
          <w:szCs w:val="22"/>
        </w:rPr>
      </w:pPr>
    </w:p>
    <w:p w14:paraId="2EBA2443" w14:textId="77777777" w:rsidR="00C26A26" w:rsidRPr="006346EC" w:rsidRDefault="00C26A26" w:rsidP="00C26A26">
      <w:pPr>
        <w:rPr>
          <w:rFonts w:ascii="Arial" w:hAnsi="Arial" w:cs="Arial"/>
          <w:b/>
          <w:bCs/>
          <w:color w:val="000000" w:themeColor="text1"/>
          <w:sz w:val="22"/>
          <w:szCs w:val="22"/>
          <w:u w:val="single"/>
        </w:rPr>
      </w:pPr>
      <w:r w:rsidRPr="006346EC">
        <w:rPr>
          <w:rFonts w:ascii="Arial" w:hAnsi="Arial" w:cs="Arial"/>
          <w:b/>
          <w:bCs/>
          <w:color w:val="000000" w:themeColor="text1"/>
          <w:sz w:val="22"/>
          <w:szCs w:val="22"/>
          <w:u w:val="single"/>
        </w:rPr>
        <w:t>Ohio State Small Animal Imaging Core</w:t>
      </w:r>
    </w:p>
    <w:p w14:paraId="360DE00E" w14:textId="77777777" w:rsidR="00C26A26" w:rsidRPr="006346EC" w:rsidRDefault="00C26A26" w:rsidP="00C26A26">
      <w:pPr>
        <w:rPr>
          <w:rFonts w:ascii="Arial" w:hAnsi="Arial" w:cs="Arial"/>
          <w:color w:val="000000" w:themeColor="text1"/>
          <w:sz w:val="22"/>
          <w:szCs w:val="22"/>
        </w:rPr>
      </w:pPr>
      <w:r w:rsidRPr="006346EC">
        <w:rPr>
          <w:rFonts w:ascii="Arial" w:hAnsi="Arial" w:cs="Arial"/>
          <w:color w:val="000000" w:themeColor="text1"/>
          <w:sz w:val="22"/>
          <w:szCs w:val="22"/>
        </w:rPr>
        <w:t xml:space="preserve">This facility which is part of the Davis Heart and Lung Research Institute (DHLRI) includes high resolution imaging equipment (MRI, ultrasound, </w:t>
      </w:r>
      <w:proofErr w:type="spellStart"/>
      <w:r w:rsidRPr="006346EC">
        <w:rPr>
          <w:rFonts w:ascii="Arial" w:hAnsi="Arial" w:cs="Arial"/>
          <w:color w:val="000000" w:themeColor="text1"/>
          <w:sz w:val="22"/>
          <w:szCs w:val="22"/>
        </w:rPr>
        <w:t>microCT</w:t>
      </w:r>
      <w:proofErr w:type="spellEnd"/>
      <w:r w:rsidRPr="006346EC">
        <w:rPr>
          <w:rFonts w:ascii="Arial" w:hAnsi="Arial" w:cs="Arial"/>
          <w:color w:val="000000" w:themeColor="text1"/>
          <w:sz w:val="22"/>
          <w:szCs w:val="22"/>
        </w:rPr>
        <w:t xml:space="preserve"> and optical), X-ray irradiator, body composition analyzer and personnel trained in the operation of each imaging modality and small animal handling procedures, as well as analytical software support for quantitative image analysis. In addition to providing interim animal housing for serial imaging studies, the SAIC also offers on-site suites for surgical procedures and animal care provided by University Laboratory Animal Resources. Image reconstruction, multi-modality fusion, quantitative image analysis, high resolution graphics and networking to the facility's server are also available.</w:t>
      </w:r>
    </w:p>
    <w:p w14:paraId="4D593806" w14:textId="77777777" w:rsidR="00C26A26" w:rsidRPr="006346EC" w:rsidRDefault="00C26A26" w:rsidP="00C26A26">
      <w:pPr>
        <w:rPr>
          <w:rFonts w:ascii="Arial" w:hAnsi="Arial" w:cs="Arial"/>
          <w:color w:val="000000" w:themeColor="text1"/>
          <w:sz w:val="22"/>
          <w:szCs w:val="22"/>
        </w:rPr>
      </w:pPr>
    </w:p>
    <w:p w14:paraId="72C72E32" w14:textId="77777777" w:rsidR="00C26A26" w:rsidRPr="006346EC" w:rsidRDefault="00C26A26" w:rsidP="00C26A26">
      <w:pPr>
        <w:rPr>
          <w:rFonts w:ascii="Arial" w:hAnsi="Arial" w:cs="Arial"/>
          <w:b/>
          <w:bCs/>
          <w:color w:val="000000" w:themeColor="text1"/>
          <w:sz w:val="22"/>
          <w:szCs w:val="22"/>
          <w:u w:val="single"/>
        </w:rPr>
      </w:pPr>
      <w:r w:rsidRPr="006346EC">
        <w:rPr>
          <w:rFonts w:ascii="Arial" w:hAnsi="Arial" w:cs="Arial"/>
          <w:b/>
          <w:bCs/>
          <w:color w:val="000000" w:themeColor="text1"/>
          <w:sz w:val="22"/>
          <w:szCs w:val="22"/>
          <w:u w:val="single"/>
        </w:rPr>
        <w:t>Ohio State Spine Research Institute</w:t>
      </w:r>
    </w:p>
    <w:p w14:paraId="5E442335" w14:textId="77777777" w:rsidR="00C26A26" w:rsidRPr="006346EC" w:rsidRDefault="00C26A26" w:rsidP="00C26A26">
      <w:pPr>
        <w:rPr>
          <w:rFonts w:ascii="Arial" w:hAnsi="Arial" w:cs="Arial"/>
          <w:color w:val="000000" w:themeColor="text1"/>
          <w:sz w:val="22"/>
          <w:szCs w:val="22"/>
        </w:rPr>
      </w:pPr>
      <w:r w:rsidRPr="006346EC">
        <w:rPr>
          <w:rFonts w:ascii="Arial" w:hAnsi="Arial" w:cs="Arial"/>
          <w:color w:val="000000" w:themeColor="text1"/>
          <w:sz w:val="22"/>
          <w:szCs w:val="22"/>
        </w:rPr>
        <w:t>At the Spine Research Institute, we are dedicated to developing a better understanding of the causal pathways that lead to spine and other musculoskeletal disorders through research, education and the development of platform technologies. We maintain that if we can understand how these disorders develop, we can provide better solutions for preventing, evaluating and treating them.</w:t>
      </w:r>
    </w:p>
    <w:p w14:paraId="7707896F" w14:textId="77777777" w:rsidR="00C26A26" w:rsidRPr="006346EC" w:rsidRDefault="00C26A26" w:rsidP="00C26A26">
      <w:pPr>
        <w:rPr>
          <w:rFonts w:ascii="Arial" w:hAnsi="Arial" w:cs="Arial"/>
          <w:color w:val="000000" w:themeColor="text1"/>
          <w:sz w:val="22"/>
          <w:szCs w:val="22"/>
        </w:rPr>
      </w:pPr>
    </w:p>
    <w:p w14:paraId="773057B7" w14:textId="77777777" w:rsidR="00C26A26" w:rsidRPr="006346EC" w:rsidRDefault="00C26A26" w:rsidP="00C26A26">
      <w:pPr>
        <w:rPr>
          <w:rFonts w:ascii="Arial" w:hAnsi="Arial" w:cs="Arial"/>
          <w:b/>
          <w:bCs/>
          <w:color w:val="000000" w:themeColor="text1"/>
          <w:sz w:val="22"/>
          <w:szCs w:val="22"/>
          <w:u w:val="single"/>
        </w:rPr>
      </w:pPr>
      <w:r w:rsidRPr="006346EC">
        <w:rPr>
          <w:rFonts w:ascii="Arial" w:hAnsi="Arial" w:cs="Arial"/>
          <w:b/>
          <w:bCs/>
          <w:color w:val="000000" w:themeColor="text1"/>
          <w:sz w:val="22"/>
          <w:szCs w:val="22"/>
          <w:u w:val="single"/>
        </w:rPr>
        <w:t>Ohio State Veterinary Tissue Bank</w:t>
      </w:r>
    </w:p>
    <w:p w14:paraId="14A1F301" w14:textId="77777777" w:rsidR="00C26A26" w:rsidRPr="006346EC" w:rsidRDefault="00C26A26" w:rsidP="00C26A26">
      <w:pPr>
        <w:rPr>
          <w:rFonts w:ascii="Arial" w:hAnsi="Arial" w:cs="Arial"/>
          <w:color w:val="000000" w:themeColor="text1"/>
          <w:sz w:val="22"/>
          <w:szCs w:val="22"/>
        </w:rPr>
      </w:pPr>
      <w:r w:rsidRPr="006346EC">
        <w:rPr>
          <w:rFonts w:ascii="Arial" w:hAnsi="Arial" w:cs="Arial"/>
          <w:color w:val="000000" w:themeColor="text1"/>
          <w:sz w:val="22"/>
          <w:szCs w:val="22"/>
        </w:rPr>
        <w:t xml:space="preserve">The Tissue Bank (biospecimen repository) collects samples of tumors and normal tissue from companion animals and stores these tissues under controlled conditions for future use by multiple investigators. The Tissue Bank at Ohio State was selected by the Canine Comparative Oncology Genomics Consortium (CCOGC) as one of three veterinary institutions nationwide to participate in populating the Pfizer-CCOGC multi-institutional Tissue Bank. This National Cancer Institute-sponsored endeavor emphasizes the importance of comparative oncology research. Ohio State’s Tissue Bank follows the guidelines established by the CCOGC for several specific types of tumors and similar established protocols for other tumors. Tissues are collected and archived only after receiving consent from the owners. This sample bank will serve as a tremendous </w:t>
      </w:r>
      <w:r w:rsidRPr="006346EC">
        <w:rPr>
          <w:rFonts w:ascii="Arial" w:hAnsi="Arial" w:cs="Arial"/>
          <w:color w:val="000000" w:themeColor="text1"/>
          <w:sz w:val="22"/>
          <w:szCs w:val="22"/>
        </w:rPr>
        <w:lastRenderedPageBreak/>
        <w:t>resource with the goal of developing new prevention and treatment strategies for dogs with a variety of illnesses.</w:t>
      </w:r>
    </w:p>
    <w:p w14:paraId="23F43A04" w14:textId="77777777" w:rsidR="00C26A26" w:rsidRPr="006346EC" w:rsidRDefault="00C26A26" w:rsidP="00C26A26">
      <w:pPr>
        <w:rPr>
          <w:rFonts w:ascii="Arial" w:hAnsi="Arial" w:cs="Arial"/>
          <w:color w:val="000000" w:themeColor="text1"/>
          <w:sz w:val="22"/>
          <w:szCs w:val="22"/>
        </w:rPr>
      </w:pPr>
    </w:p>
    <w:p w14:paraId="6B627E52" w14:textId="77777777" w:rsidR="00C26A26" w:rsidRPr="006346EC" w:rsidRDefault="00C26A26" w:rsidP="00C26A26">
      <w:pPr>
        <w:rPr>
          <w:rFonts w:ascii="Arial" w:hAnsi="Arial" w:cs="Arial"/>
          <w:b/>
          <w:bCs/>
          <w:color w:val="000000" w:themeColor="text1"/>
          <w:sz w:val="22"/>
          <w:szCs w:val="22"/>
          <w:u w:val="single"/>
        </w:rPr>
      </w:pPr>
      <w:r w:rsidRPr="006346EC">
        <w:rPr>
          <w:rFonts w:ascii="Arial" w:hAnsi="Arial" w:cs="Arial"/>
          <w:b/>
          <w:bCs/>
          <w:color w:val="000000" w:themeColor="text1"/>
          <w:sz w:val="22"/>
          <w:szCs w:val="22"/>
          <w:u w:val="single"/>
        </w:rPr>
        <w:t>Ohio State Extension Program</w:t>
      </w:r>
    </w:p>
    <w:p w14:paraId="3C950BF2" w14:textId="77777777" w:rsidR="00C26A26" w:rsidRPr="006346EC" w:rsidRDefault="00C26A26" w:rsidP="00C26A26">
      <w:pPr>
        <w:rPr>
          <w:rFonts w:ascii="Arial" w:hAnsi="Arial" w:cs="Arial"/>
          <w:color w:val="000000" w:themeColor="text1"/>
          <w:sz w:val="22"/>
          <w:szCs w:val="22"/>
        </w:rPr>
      </w:pPr>
      <w:r w:rsidRPr="006346EC">
        <w:rPr>
          <w:rFonts w:ascii="Arial" w:hAnsi="Arial" w:cs="Arial"/>
          <w:color w:val="000000" w:themeColor="text1"/>
          <w:sz w:val="22"/>
          <w:szCs w:val="22"/>
        </w:rPr>
        <w:t>The nation’s land-grant universities have a mission to disseminate and teach new knowledge to the citizens living throughout the state. This mission is accomplished through outreach education and the Cooperative Extension System that was established by the Smith-Lever Act of 1914 as a federal-state-local partnership between the USDA, the land-grant university system and local county governments. As part of Ohio State’s land grant mission, Ohio State Extension has an office located in each of Ohio’s 88 counties. The Ohio State Extension Program focuses on four major program areas:</w:t>
      </w:r>
    </w:p>
    <w:p w14:paraId="3CF81C01" w14:textId="77777777" w:rsidR="00C26A26" w:rsidRPr="006346EC" w:rsidRDefault="00C26A26" w:rsidP="00C26A26">
      <w:pPr>
        <w:pStyle w:val="ListParagraph"/>
        <w:numPr>
          <w:ilvl w:val="0"/>
          <w:numId w:val="37"/>
        </w:numPr>
        <w:rPr>
          <w:rFonts w:ascii="Arial" w:hAnsi="Arial" w:cs="Arial"/>
          <w:color w:val="000000" w:themeColor="text1"/>
          <w:sz w:val="22"/>
          <w:szCs w:val="22"/>
        </w:rPr>
      </w:pPr>
      <w:r w:rsidRPr="006346EC">
        <w:rPr>
          <w:rFonts w:ascii="Arial" w:hAnsi="Arial" w:cs="Arial"/>
          <w:color w:val="000000" w:themeColor="text1"/>
          <w:sz w:val="22"/>
          <w:szCs w:val="22"/>
        </w:rPr>
        <w:t>Agriculture and Natural Resources</w:t>
      </w:r>
    </w:p>
    <w:p w14:paraId="15572B15" w14:textId="77777777" w:rsidR="00C26A26" w:rsidRPr="006346EC" w:rsidRDefault="00C26A26" w:rsidP="00C26A26">
      <w:pPr>
        <w:pStyle w:val="ListParagraph"/>
        <w:numPr>
          <w:ilvl w:val="0"/>
          <w:numId w:val="37"/>
        </w:numPr>
        <w:rPr>
          <w:rFonts w:ascii="Arial" w:hAnsi="Arial" w:cs="Arial"/>
          <w:color w:val="000000" w:themeColor="text1"/>
          <w:sz w:val="22"/>
          <w:szCs w:val="22"/>
        </w:rPr>
      </w:pPr>
      <w:r w:rsidRPr="006346EC">
        <w:rPr>
          <w:rFonts w:ascii="Arial" w:hAnsi="Arial" w:cs="Arial"/>
          <w:color w:val="000000" w:themeColor="text1"/>
          <w:sz w:val="22"/>
          <w:szCs w:val="22"/>
        </w:rPr>
        <w:t>4-H Youth Development</w:t>
      </w:r>
    </w:p>
    <w:p w14:paraId="4C1C7A80" w14:textId="77777777" w:rsidR="00C26A26" w:rsidRPr="006346EC" w:rsidRDefault="00C26A26" w:rsidP="00C26A26">
      <w:pPr>
        <w:pStyle w:val="ListParagraph"/>
        <w:numPr>
          <w:ilvl w:val="0"/>
          <w:numId w:val="37"/>
        </w:numPr>
        <w:rPr>
          <w:rFonts w:ascii="Arial" w:hAnsi="Arial" w:cs="Arial"/>
          <w:color w:val="000000" w:themeColor="text1"/>
          <w:sz w:val="22"/>
          <w:szCs w:val="22"/>
        </w:rPr>
      </w:pPr>
      <w:r w:rsidRPr="006346EC">
        <w:rPr>
          <w:rFonts w:ascii="Arial" w:hAnsi="Arial" w:cs="Arial"/>
          <w:color w:val="000000" w:themeColor="text1"/>
          <w:sz w:val="22"/>
          <w:szCs w:val="22"/>
        </w:rPr>
        <w:t>Family and Consumer Sciences</w:t>
      </w:r>
    </w:p>
    <w:p w14:paraId="7B947157" w14:textId="77777777" w:rsidR="00C26A26" w:rsidRPr="006346EC" w:rsidRDefault="00C26A26" w:rsidP="00C26A26">
      <w:pPr>
        <w:pStyle w:val="ListParagraph"/>
        <w:numPr>
          <w:ilvl w:val="0"/>
          <w:numId w:val="37"/>
        </w:numPr>
        <w:rPr>
          <w:rFonts w:ascii="Arial" w:hAnsi="Arial" w:cs="Arial"/>
          <w:color w:val="000000" w:themeColor="text1"/>
          <w:sz w:val="22"/>
          <w:szCs w:val="22"/>
        </w:rPr>
      </w:pPr>
      <w:r w:rsidRPr="006346EC">
        <w:rPr>
          <w:rFonts w:ascii="Arial" w:hAnsi="Arial" w:cs="Arial"/>
          <w:color w:val="000000" w:themeColor="text1"/>
          <w:sz w:val="22"/>
          <w:szCs w:val="22"/>
        </w:rPr>
        <w:t>Community Development</w:t>
      </w:r>
    </w:p>
    <w:p w14:paraId="08CD0594" w14:textId="77777777" w:rsidR="00C26A26" w:rsidRDefault="00C26A26" w:rsidP="00C26A26">
      <w:pPr>
        <w:pStyle w:val="ListParagraph"/>
        <w:numPr>
          <w:ilvl w:val="0"/>
          <w:numId w:val="37"/>
        </w:numPr>
        <w:rPr>
          <w:rFonts w:ascii="Arial" w:hAnsi="Arial" w:cs="Arial"/>
          <w:color w:val="000000" w:themeColor="text1"/>
          <w:sz w:val="22"/>
          <w:szCs w:val="22"/>
        </w:rPr>
      </w:pPr>
      <w:r w:rsidRPr="000405E8">
        <w:rPr>
          <w:rFonts w:ascii="Arial" w:hAnsi="Arial" w:cs="Arial"/>
          <w:color w:val="000000" w:themeColor="text1"/>
          <w:sz w:val="22"/>
          <w:szCs w:val="22"/>
        </w:rPr>
        <w:t>The system was developed to transfer and apply the latest scientific research to address local needs that are constantly changing. Dr. Eric Barrett is an associate professor and area leader for Ohio State Extension.</w:t>
      </w:r>
    </w:p>
    <w:p w14:paraId="3C5BB2B1" w14:textId="77777777" w:rsidR="00C26A26" w:rsidRDefault="00C26A26" w:rsidP="00C26A26">
      <w:pPr>
        <w:rPr>
          <w:rFonts w:ascii="Arial" w:hAnsi="Arial" w:cs="Arial"/>
          <w:color w:val="000000" w:themeColor="text1"/>
          <w:sz w:val="22"/>
          <w:szCs w:val="22"/>
        </w:rPr>
      </w:pPr>
    </w:p>
    <w:p w14:paraId="24E3056C" w14:textId="77777777" w:rsidR="00C26A26" w:rsidRPr="000405E8" w:rsidRDefault="00C26A26" w:rsidP="00C26A26">
      <w:pPr>
        <w:pStyle w:val="Heading3"/>
        <w:widowControl w:val="0"/>
        <w:spacing w:before="0" w:after="0"/>
        <w:rPr>
          <w:rFonts w:ascii="Arial" w:hAnsi="Arial" w:cs="Arial"/>
          <w:b/>
          <w:bCs/>
          <w:color w:val="000000" w:themeColor="text1"/>
          <w:sz w:val="22"/>
          <w:szCs w:val="22"/>
          <w:u w:val="single"/>
        </w:rPr>
      </w:pPr>
      <w:r w:rsidRPr="000405E8">
        <w:rPr>
          <w:rFonts w:ascii="Arial" w:hAnsi="Arial" w:cs="Arial"/>
          <w:b/>
          <w:bCs/>
          <w:color w:val="000000" w:themeColor="text1"/>
          <w:sz w:val="22"/>
          <w:szCs w:val="22"/>
          <w:u w:val="single"/>
        </w:rPr>
        <w:t xml:space="preserve">Ohio State Health Science Library </w:t>
      </w:r>
    </w:p>
    <w:p w14:paraId="3453C0E6" w14:textId="77777777" w:rsidR="00C26A26" w:rsidRPr="006346EC" w:rsidRDefault="00C26A26" w:rsidP="00C26A26">
      <w:pPr>
        <w:widowControl w:val="0"/>
        <w:snapToGrid w:val="0"/>
        <w:rPr>
          <w:rFonts w:ascii="Arial" w:hAnsi="Arial" w:cs="Arial"/>
          <w:color w:val="000000" w:themeColor="text1"/>
          <w:sz w:val="22"/>
          <w:szCs w:val="22"/>
        </w:rPr>
      </w:pPr>
      <w:r w:rsidRPr="006346EC">
        <w:rPr>
          <w:rFonts w:ascii="Arial" w:hAnsi="Arial" w:cs="Arial"/>
          <w:color w:val="000000" w:themeColor="text1"/>
          <w:sz w:val="22"/>
          <w:szCs w:val="22"/>
        </w:rPr>
        <w:t xml:space="preserve">The Prior Health Sciences Library, located adjacent to the </w:t>
      </w:r>
      <w:r>
        <w:rPr>
          <w:rFonts w:ascii="Arial" w:hAnsi="Arial" w:cs="Arial"/>
          <w:color w:val="000000" w:themeColor="text1"/>
          <w:sz w:val="22"/>
          <w:szCs w:val="22"/>
        </w:rPr>
        <w:t xml:space="preserve">Ohio State </w:t>
      </w:r>
      <w:r w:rsidRPr="006346EC">
        <w:rPr>
          <w:rFonts w:ascii="Arial" w:hAnsi="Arial" w:cs="Arial"/>
          <w:color w:val="000000" w:themeColor="text1"/>
          <w:sz w:val="22"/>
          <w:szCs w:val="22"/>
        </w:rPr>
        <w:t>Wexner Medical Center, contains all major and most minor journals relevant to cancer and other biomedical research. Computerized research sources are available. In addition, access to interlibrary loans is facilitated by trained library staff. Additional library resources are available in the Biological Sciences/Pharmacy Library located on the medical campus. Finally, specialty libraries are maintained by individual departments and may be used by faculty and staff.</w:t>
      </w:r>
    </w:p>
    <w:p w14:paraId="0C1C0808" w14:textId="77777777" w:rsidR="00C26A26" w:rsidRPr="006346EC" w:rsidRDefault="00C26A26" w:rsidP="00C26A26">
      <w:pPr>
        <w:rPr>
          <w:rFonts w:ascii="Arial" w:hAnsi="Arial" w:cs="Arial"/>
          <w:color w:val="000000" w:themeColor="text1"/>
          <w:sz w:val="22"/>
          <w:szCs w:val="22"/>
        </w:rPr>
      </w:pPr>
    </w:p>
    <w:p w14:paraId="2A6CD188" w14:textId="77777777" w:rsidR="00C26A26" w:rsidRPr="006346EC" w:rsidRDefault="00C26A26" w:rsidP="00C26A26">
      <w:pPr>
        <w:pStyle w:val="NormalWeb"/>
        <w:spacing w:before="0" w:beforeAutospacing="0" w:after="0" w:afterAutospacing="0"/>
        <w:rPr>
          <w:rFonts w:ascii="Arial" w:hAnsi="Arial" w:cs="Arial"/>
          <w:b/>
          <w:color w:val="000000" w:themeColor="text1"/>
          <w:sz w:val="22"/>
          <w:szCs w:val="22"/>
          <w:u w:val="single"/>
        </w:rPr>
      </w:pPr>
      <w:r w:rsidRPr="006346EC">
        <w:rPr>
          <w:rFonts w:ascii="Arial" w:hAnsi="Arial" w:cs="Arial"/>
          <w:b/>
          <w:color w:val="000000" w:themeColor="text1"/>
          <w:sz w:val="22"/>
          <w:szCs w:val="22"/>
          <w:u w:val="single"/>
        </w:rPr>
        <w:t>The Ohio Primary Care Innovation Network (OPCIN)</w:t>
      </w:r>
    </w:p>
    <w:p w14:paraId="2BAF11D8" w14:textId="77777777" w:rsidR="00C26A26" w:rsidRDefault="00C26A26" w:rsidP="00C26A26">
      <w:pPr>
        <w:pStyle w:val="NormalWeb"/>
        <w:spacing w:before="0" w:beforeAutospacing="0" w:after="0" w:afterAutospacing="0"/>
        <w:rPr>
          <w:rFonts w:ascii="Arial" w:hAnsi="Arial" w:cs="Arial"/>
          <w:color w:val="000000" w:themeColor="text1"/>
          <w:sz w:val="22"/>
          <w:szCs w:val="22"/>
        </w:rPr>
      </w:pPr>
      <w:r w:rsidRPr="006346EC">
        <w:rPr>
          <w:rFonts w:ascii="Arial" w:hAnsi="Arial" w:cs="Arial"/>
          <w:color w:val="000000" w:themeColor="text1"/>
          <w:sz w:val="22"/>
          <w:szCs w:val="22"/>
        </w:rPr>
        <w:t xml:space="preserve">The Ohio Primary Care Innovation Network (OPCIN) is a partnership between the Ohio Association of Community Health Centers (OACHC) and The Ohio State University Clinical and Translation Science Institute (CTSI). MPI Dr. </w:t>
      </w:r>
      <w:proofErr w:type="spellStart"/>
      <w:r w:rsidRPr="006346EC">
        <w:rPr>
          <w:rFonts w:ascii="Arial" w:hAnsi="Arial" w:cs="Arial"/>
          <w:color w:val="000000" w:themeColor="text1"/>
          <w:sz w:val="22"/>
          <w:szCs w:val="22"/>
        </w:rPr>
        <w:t>Seuli</w:t>
      </w:r>
      <w:proofErr w:type="spellEnd"/>
      <w:r w:rsidRPr="006346EC">
        <w:rPr>
          <w:rFonts w:ascii="Arial" w:hAnsi="Arial" w:cs="Arial"/>
          <w:color w:val="000000" w:themeColor="text1"/>
          <w:sz w:val="22"/>
          <w:szCs w:val="22"/>
        </w:rPr>
        <w:t xml:space="preserve"> Brill serves as the Director of OPCIN, which was established in 2022, interfaces Ohio’s robust Federally Qualified Health Center (FQHC) network, including 400+ locations spanning 72 of Ohio’s 88 counties, and delivering three million patient visits annually to 854,000 Ohioans as of 2022. FQHCs serve at the front lines of clinical care and innovation within urban and rural communities facing the greatest health disparities – 49% of all patients served by the OPCIN are from rural areas of the state. The OPCIN Ohio State/OACHC statewide pragmatic research partnership catalyzes and advances health for all through placing established clinical trials infrastructure in FQHC primary care settings to serve patients across Ohio who face a high burden of health inequities and remain underrepresented in research. The OPCIN operates using a shared governance model between Ohio State and the OACHC to facilitate advancement of community, healthcare and patient stakeholder-led research priorities [e.g. substance use disorder (SUD), rural health and women’s health]. Development, dissemination and implementation of evidence-based AUD and SUD care remains a leading OPCIN research priority because of its alignment with OACHC and Ohio State Health Improvement Plan (SHIP) priorities. In fact, while the OPCIN was formalized in 2022, Ohio State and OACHC have a track record of successful collaboration on fairness-centered pragmatic RCTs focused on implementation of evidence-based practices for substance use disorder (SUD) treatment, including the multistate NIH-funded </w:t>
      </w:r>
      <w:proofErr w:type="spellStart"/>
      <w:r w:rsidRPr="006346EC">
        <w:rPr>
          <w:rFonts w:ascii="Arial" w:hAnsi="Arial" w:cs="Arial"/>
          <w:color w:val="000000" w:themeColor="text1"/>
          <w:sz w:val="22"/>
          <w:szCs w:val="22"/>
        </w:rPr>
        <w:t>HEALing</w:t>
      </w:r>
      <w:proofErr w:type="spellEnd"/>
      <w:r w:rsidRPr="006346EC">
        <w:rPr>
          <w:rFonts w:ascii="Arial" w:hAnsi="Arial" w:cs="Arial"/>
          <w:color w:val="000000" w:themeColor="text1"/>
          <w:sz w:val="22"/>
          <w:szCs w:val="22"/>
        </w:rPr>
        <w:t xml:space="preserve"> Communities Study.</w:t>
      </w:r>
    </w:p>
    <w:p w14:paraId="764C5139" w14:textId="77777777" w:rsidR="00C26A26" w:rsidRPr="006346EC" w:rsidRDefault="00C26A26" w:rsidP="00C26A26">
      <w:pPr>
        <w:spacing w:line="276" w:lineRule="auto"/>
        <w:outlineLvl w:val="0"/>
        <w:rPr>
          <w:rFonts w:ascii="Arial" w:hAnsi="Arial" w:cs="Arial"/>
          <w:color w:val="000000" w:themeColor="text1"/>
        </w:rPr>
      </w:pPr>
    </w:p>
    <w:p w14:paraId="764259DB" w14:textId="77777777" w:rsidR="00C26A26" w:rsidRPr="006346EC" w:rsidRDefault="00C26A26" w:rsidP="009C74F9">
      <w:pPr>
        <w:rPr>
          <w:rFonts w:ascii="Arial" w:hAnsi="Arial" w:cs="Arial"/>
          <w:color w:val="000000" w:themeColor="text1"/>
        </w:rPr>
      </w:pPr>
    </w:p>
    <w:sectPr w:rsidR="00C26A26" w:rsidRPr="006346EC" w:rsidSect="009C74F9">
      <w:type w:val="continuous"/>
      <w:pgSz w:w="12240" w:h="15840"/>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w:altName w:val="Sylfaen"/>
    <w:panose1 w:val="00000500000000020000"/>
    <w:charset w:val="00"/>
    <w:family w:val="roman"/>
    <w:pitch w:val="variable"/>
    <w:sig w:usb0="E0002EFF" w:usb1="C000785B" w:usb2="00000009" w:usb3="00000000" w:csb0="000001FF" w:csb1="00000000"/>
  </w:font>
  <w:font w:name="+mn-ea">
    <w:panose1 w:val="020B06040202020202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8E5C40"/>
    <w:multiLevelType w:val="hybridMultilevel"/>
    <w:tmpl w:val="A95A8AEC"/>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1" w15:restartNumberingAfterBreak="0">
    <w:nsid w:val="04665D64"/>
    <w:multiLevelType w:val="hybridMultilevel"/>
    <w:tmpl w:val="3306CB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2C04A8"/>
    <w:multiLevelType w:val="hybridMultilevel"/>
    <w:tmpl w:val="CBA63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B35CA2"/>
    <w:multiLevelType w:val="hybridMultilevel"/>
    <w:tmpl w:val="06344B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AC7C49"/>
    <w:multiLevelType w:val="hybridMultilevel"/>
    <w:tmpl w:val="9B92A8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2109A3"/>
    <w:multiLevelType w:val="hybridMultilevel"/>
    <w:tmpl w:val="B786477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11F942B1"/>
    <w:multiLevelType w:val="hybridMultilevel"/>
    <w:tmpl w:val="1DEC5D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55F08E0"/>
    <w:multiLevelType w:val="hybridMultilevel"/>
    <w:tmpl w:val="9F6C81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887AC9"/>
    <w:multiLevelType w:val="multilevel"/>
    <w:tmpl w:val="97D40C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8FD4BA7"/>
    <w:multiLevelType w:val="hybridMultilevel"/>
    <w:tmpl w:val="32903F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AA02B00"/>
    <w:multiLevelType w:val="multilevel"/>
    <w:tmpl w:val="A36E3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B454C11"/>
    <w:multiLevelType w:val="multilevel"/>
    <w:tmpl w:val="FBC2C4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C2340F"/>
    <w:multiLevelType w:val="multilevel"/>
    <w:tmpl w:val="ADE020EC"/>
    <w:lvl w:ilvl="0">
      <w:start w:val="2"/>
      <w:numFmt w:val="decimal"/>
      <w:lvlText w:val="%1."/>
      <w:lvlJc w:val="left"/>
      <w:pPr>
        <w:ind w:left="400" w:hanging="40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3" w15:restartNumberingAfterBreak="0">
    <w:nsid w:val="200F168D"/>
    <w:multiLevelType w:val="hybridMultilevel"/>
    <w:tmpl w:val="A1163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C16707"/>
    <w:multiLevelType w:val="hybridMultilevel"/>
    <w:tmpl w:val="ADEE08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49B0725"/>
    <w:multiLevelType w:val="hybridMultilevel"/>
    <w:tmpl w:val="6D387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A2686E"/>
    <w:multiLevelType w:val="hybridMultilevel"/>
    <w:tmpl w:val="3F46F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D96CFA"/>
    <w:multiLevelType w:val="hybridMultilevel"/>
    <w:tmpl w:val="F93623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2D8C0087"/>
    <w:multiLevelType w:val="multilevel"/>
    <w:tmpl w:val="DAFA6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0062EF"/>
    <w:multiLevelType w:val="hybridMultilevel"/>
    <w:tmpl w:val="76AAE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664154"/>
    <w:multiLevelType w:val="multilevel"/>
    <w:tmpl w:val="836A171C"/>
    <w:lvl w:ilvl="0">
      <w:start w:val="2"/>
      <w:numFmt w:val="decimal"/>
      <w:lvlText w:val="%1."/>
      <w:lvlJc w:val="right"/>
      <w:pPr>
        <w:ind w:left="360" w:hanging="360"/>
      </w:pPr>
    </w:lvl>
    <w:lvl w:ilvl="1">
      <w:start w:val="1"/>
      <w:numFmt w:val="decimal"/>
      <w:suff w:val="space"/>
      <w:lvlText w:val="%1.%2"/>
      <w:lvlJc w:val="left"/>
      <w:pPr>
        <w:ind w:left="720" w:hanging="360"/>
      </w:pPr>
    </w:lvl>
    <w:lvl w:ilvl="2">
      <w:start w:val="1"/>
      <w:numFmt w:val="decimal"/>
      <w:suff w:val="space"/>
      <w:lvlText w:val="%1.%2.%3"/>
      <w:lvlJc w:val="left"/>
      <w:pPr>
        <w:ind w:left="1170" w:hanging="720"/>
      </w:pPr>
      <w:rPr>
        <w:rFonts w:ascii="Arial" w:hAnsi="Arial" w:cs="Arial" w:hint="default"/>
        <w:b/>
        <w:bCs/>
        <w:i w:val="0"/>
        <w:iCs/>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1" w15:restartNumberingAfterBreak="0">
    <w:nsid w:val="318B6A52"/>
    <w:multiLevelType w:val="multilevel"/>
    <w:tmpl w:val="53229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3E04F92"/>
    <w:multiLevelType w:val="hybridMultilevel"/>
    <w:tmpl w:val="3F16B7EA"/>
    <w:lvl w:ilvl="0" w:tplc="B1DE1E62">
      <w:start w:val="1"/>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8967EC6"/>
    <w:multiLevelType w:val="hybridMultilevel"/>
    <w:tmpl w:val="7AAA54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D384646"/>
    <w:multiLevelType w:val="multilevel"/>
    <w:tmpl w:val="7E167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E0913ED"/>
    <w:multiLevelType w:val="multilevel"/>
    <w:tmpl w:val="3BB4F6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E1E4CA3"/>
    <w:multiLevelType w:val="multilevel"/>
    <w:tmpl w:val="B8E48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0011610"/>
    <w:multiLevelType w:val="hybridMultilevel"/>
    <w:tmpl w:val="B5BEB940"/>
    <w:lvl w:ilvl="0" w:tplc="B1DE1E62">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86633E2"/>
    <w:multiLevelType w:val="hybridMultilevel"/>
    <w:tmpl w:val="60086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A5D1904"/>
    <w:multiLevelType w:val="hybridMultilevel"/>
    <w:tmpl w:val="8FB0BA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4DCF47EA"/>
    <w:multiLevelType w:val="hybridMultilevel"/>
    <w:tmpl w:val="2C7E67D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1445438"/>
    <w:multiLevelType w:val="multilevel"/>
    <w:tmpl w:val="82825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8F16007"/>
    <w:multiLevelType w:val="hybridMultilevel"/>
    <w:tmpl w:val="49B2A6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860956"/>
    <w:multiLevelType w:val="multilevel"/>
    <w:tmpl w:val="972C1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E43984"/>
    <w:multiLevelType w:val="hybridMultilevel"/>
    <w:tmpl w:val="5E5C6D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662849F6"/>
    <w:multiLevelType w:val="hybridMultilevel"/>
    <w:tmpl w:val="C5A4B0E6"/>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6" w15:restartNumberingAfterBreak="0">
    <w:nsid w:val="6660386A"/>
    <w:multiLevelType w:val="multilevel"/>
    <w:tmpl w:val="09988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73D524D"/>
    <w:multiLevelType w:val="hybridMultilevel"/>
    <w:tmpl w:val="5B7885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8BE215A"/>
    <w:multiLevelType w:val="hybridMultilevel"/>
    <w:tmpl w:val="5224C8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69872CDA"/>
    <w:multiLevelType w:val="hybridMultilevel"/>
    <w:tmpl w:val="AD866D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B585CAE"/>
    <w:multiLevelType w:val="hybridMultilevel"/>
    <w:tmpl w:val="A2201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5562368"/>
    <w:multiLevelType w:val="hybridMultilevel"/>
    <w:tmpl w:val="EB9AFC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6A148F5"/>
    <w:multiLevelType w:val="hybridMultilevel"/>
    <w:tmpl w:val="3912D3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9BC63A0"/>
    <w:multiLevelType w:val="hybridMultilevel"/>
    <w:tmpl w:val="16A4DD4E"/>
    <w:lvl w:ilvl="0" w:tplc="0409000F">
      <w:start w:val="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B3862F0"/>
    <w:multiLevelType w:val="multilevel"/>
    <w:tmpl w:val="9AFEA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C297AA8"/>
    <w:multiLevelType w:val="multilevel"/>
    <w:tmpl w:val="A60212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DC40CF5"/>
    <w:multiLevelType w:val="hybridMultilevel"/>
    <w:tmpl w:val="8408B3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5207097">
    <w:abstractNumId w:val="5"/>
  </w:num>
  <w:num w:numId="2" w16cid:durableId="1653486912">
    <w:abstractNumId w:val="10"/>
  </w:num>
  <w:num w:numId="3" w16cid:durableId="1656571221">
    <w:abstractNumId w:val="22"/>
  </w:num>
  <w:num w:numId="4" w16cid:durableId="1443455188">
    <w:abstractNumId w:val="39"/>
  </w:num>
  <w:num w:numId="5" w16cid:durableId="961224877">
    <w:abstractNumId w:val="23"/>
  </w:num>
  <w:num w:numId="6" w16cid:durableId="1155757050">
    <w:abstractNumId w:val="2"/>
  </w:num>
  <w:num w:numId="7" w16cid:durableId="1521240217">
    <w:abstractNumId w:val="27"/>
  </w:num>
  <w:num w:numId="8" w16cid:durableId="1504079516">
    <w:abstractNumId w:val="7"/>
  </w:num>
  <w:num w:numId="9" w16cid:durableId="473525945">
    <w:abstractNumId w:val="42"/>
  </w:num>
  <w:num w:numId="10" w16cid:durableId="955141027">
    <w:abstractNumId w:val="41"/>
  </w:num>
  <w:num w:numId="11" w16cid:durableId="785395638">
    <w:abstractNumId w:val="1"/>
  </w:num>
  <w:num w:numId="12" w16cid:durableId="237445342">
    <w:abstractNumId w:val="13"/>
  </w:num>
  <w:num w:numId="13" w16cid:durableId="1576355359">
    <w:abstractNumId w:val="46"/>
  </w:num>
  <w:num w:numId="14" w16cid:durableId="73286333">
    <w:abstractNumId w:val="6"/>
  </w:num>
  <w:num w:numId="15" w16cid:durableId="1737825369">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43246027">
    <w:abstractNumId w:val="45"/>
  </w:num>
  <w:num w:numId="17" w16cid:durableId="246427868">
    <w:abstractNumId w:val="17"/>
  </w:num>
  <w:num w:numId="18" w16cid:durableId="1665549350">
    <w:abstractNumId w:val="34"/>
  </w:num>
  <w:num w:numId="19" w16cid:durableId="1061054098">
    <w:abstractNumId w:val="35"/>
  </w:num>
  <w:num w:numId="20" w16cid:durableId="346567995">
    <w:abstractNumId w:val="8"/>
  </w:num>
  <w:num w:numId="21" w16cid:durableId="1921981748">
    <w:abstractNumId w:val="0"/>
  </w:num>
  <w:num w:numId="22" w16cid:durableId="1569459654">
    <w:abstractNumId w:val="25"/>
  </w:num>
  <w:num w:numId="23" w16cid:durableId="1300650100">
    <w:abstractNumId w:val="38"/>
  </w:num>
  <w:num w:numId="24" w16cid:durableId="1811358224">
    <w:abstractNumId w:val="29"/>
  </w:num>
  <w:num w:numId="25" w16cid:durableId="1406337141">
    <w:abstractNumId w:val="32"/>
  </w:num>
  <w:num w:numId="26" w16cid:durableId="1301424647">
    <w:abstractNumId w:val="43"/>
  </w:num>
  <w:num w:numId="27" w16cid:durableId="1148788412">
    <w:abstractNumId w:val="14"/>
  </w:num>
  <w:num w:numId="28" w16cid:durableId="931400636">
    <w:abstractNumId w:val="12"/>
  </w:num>
  <w:num w:numId="29" w16cid:durableId="1400133427">
    <w:abstractNumId w:val="9"/>
  </w:num>
  <w:num w:numId="30" w16cid:durableId="601033462">
    <w:abstractNumId w:val="19"/>
  </w:num>
  <w:num w:numId="31" w16cid:durableId="1118721819">
    <w:abstractNumId w:val="37"/>
  </w:num>
  <w:num w:numId="32" w16cid:durableId="363865811">
    <w:abstractNumId w:val="15"/>
  </w:num>
  <w:num w:numId="33" w16cid:durableId="1114980306">
    <w:abstractNumId w:val="16"/>
  </w:num>
  <w:num w:numId="34" w16cid:durableId="2030179337">
    <w:abstractNumId w:val="30"/>
  </w:num>
  <w:num w:numId="35" w16cid:durableId="1811944589">
    <w:abstractNumId w:val="3"/>
  </w:num>
  <w:num w:numId="36" w16cid:durableId="1433546835">
    <w:abstractNumId w:val="4"/>
  </w:num>
  <w:num w:numId="37" w16cid:durableId="163058723">
    <w:abstractNumId w:val="28"/>
  </w:num>
  <w:num w:numId="38" w16cid:durableId="1688286580">
    <w:abstractNumId w:val="40"/>
  </w:num>
  <w:num w:numId="39" w16cid:durableId="1461996875">
    <w:abstractNumId w:val="11"/>
  </w:num>
  <w:num w:numId="40" w16cid:durableId="249045009">
    <w:abstractNumId w:val="44"/>
  </w:num>
  <w:num w:numId="41" w16cid:durableId="1832988248">
    <w:abstractNumId w:val="33"/>
  </w:num>
  <w:num w:numId="42" w16cid:durableId="813717580">
    <w:abstractNumId w:val="21"/>
  </w:num>
  <w:num w:numId="43" w16cid:durableId="1947812742">
    <w:abstractNumId w:val="18"/>
  </w:num>
  <w:num w:numId="44" w16cid:durableId="1491288756">
    <w:abstractNumId w:val="26"/>
  </w:num>
  <w:num w:numId="45" w16cid:durableId="212431558">
    <w:abstractNumId w:val="24"/>
  </w:num>
  <w:num w:numId="46" w16cid:durableId="665474225">
    <w:abstractNumId w:val="36"/>
  </w:num>
  <w:num w:numId="47" w16cid:durableId="2059743165">
    <w:abstractNumId w:val="3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99E"/>
    <w:rsid w:val="000405E8"/>
    <w:rsid w:val="000433E0"/>
    <w:rsid w:val="000633AD"/>
    <w:rsid w:val="000713AE"/>
    <w:rsid w:val="000A0509"/>
    <w:rsid w:val="000F399E"/>
    <w:rsid w:val="001877A9"/>
    <w:rsid w:val="002208DE"/>
    <w:rsid w:val="00224B73"/>
    <w:rsid w:val="00236CC2"/>
    <w:rsid w:val="00242AB1"/>
    <w:rsid w:val="002741E2"/>
    <w:rsid w:val="0029540E"/>
    <w:rsid w:val="002D0029"/>
    <w:rsid w:val="002E1DF9"/>
    <w:rsid w:val="002F12F3"/>
    <w:rsid w:val="003A2B7D"/>
    <w:rsid w:val="003F0898"/>
    <w:rsid w:val="00452903"/>
    <w:rsid w:val="00456E85"/>
    <w:rsid w:val="004624F1"/>
    <w:rsid w:val="00470B76"/>
    <w:rsid w:val="004A2147"/>
    <w:rsid w:val="004A427C"/>
    <w:rsid w:val="004F203E"/>
    <w:rsid w:val="00507D1F"/>
    <w:rsid w:val="00513CA7"/>
    <w:rsid w:val="00532B7A"/>
    <w:rsid w:val="005952B1"/>
    <w:rsid w:val="00596DA1"/>
    <w:rsid w:val="005C5C03"/>
    <w:rsid w:val="005D27DF"/>
    <w:rsid w:val="005F0B73"/>
    <w:rsid w:val="006346EC"/>
    <w:rsid w:val="006C44ED"/>
    <w:rsid w:val="006E347F"/>
    <w:rsid w:val="006E6ABA"/>
    <w:rsid w:val="00774E24"/>
    <w:rsid w:val="008307F3"/>
    <w:rsid w:val="00870BD4"/>
    <w:rsid w:val="00881CEC"/>
    <w:rsid w:val="00883493"/>
    <w:rsid w:val="00901A3D"/>
    <w:rsid w:val="00944A8E"/>
    <w:rsid w:val="00955AF5"/>
    <w:rsid w:val="009C5DDF"/>
    <w:rsid w:val="009C74F9"/>
    <w:rsid w:val="009F3D05"/>
    <w:rsid w:val="00A1362E"/>
    <w:rsid w:val="00A86B67"/>
    <w:rsid w:val="00AF109B"/>
    <w:rsid w:val="00AF3267"/>
    <w:rsid w:val="00B12B0B"/>
    <w:rsid w:val="00B25748"/>
    <w:rsid w:val="00B54F3F"/>
    <w:rsid w:val="00B83C30"/>
    <w:rsid w:val="00B9204E"/>
    <w:rsid w:val="00BA4839"/>
    <w:rsid w:val="00BA4DD6"/>
    <w:rsid w:val="00BA5A4D"/>
    <w:rsid w:val="00C01A0B"/>
    <w:rsid w:val="00C16456"/>
    <w:rsid w:val="00C26A26"/>
    <w:rsid w:val="00C31BD7"/>
    <w:rsid w:val="00DE335F"/>
    <w:rsid w:val="00E107CD"/>
    <w:rsid w:val="00E10A60"/>
    <w:rsid w:val="00E73ED5"/>
    <w:rsid w:val="00E929E6"/>
    <w:rsid w:val="00EB073F"/>
    <w:rsid w:val="00EB7F66"/>
    <w:rsid w:val="00F04AD9"/>
    <w:rsid w:val="00F140E2"/>
    <w:rsid w:val="00F62DF0"/>
    <w:rsid w:val="00F76807"/>
    <w:rsid w:val="00F90524"/>
    <w:rsid w:val="00FB041E"/>
    <w:rsid w:val="00FE2328"/>
    <w:rsid w:val="00FF02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38BE2"/>
  <w15:chartTrackingRefBased/>
  <w15:docId w15:val="{03B5D95D-ABAA-B541-9C05-E9C4C1628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99E"/>
    <w:pPr>
      <w:spacing w:after="0" w:line="240" w:lineRule="auto"/>
    </w:pPr>
  </w:style>
  <w:style w:type="paragraph" w:styleId="Heading1">
    <w:name w:val="heading 1"/>
    <w:basedOn w:val="Normal"/>
    <w:next w:val="Normal"/>
    <w:link w:val="Heading1Char"/>
    <w:uiPriority w:val="9"/>
    <w:qFormat/>
    <w:rsid w:val="000F39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F39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39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39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39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39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39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39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39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39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F39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39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39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39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39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39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39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399E"/>
    <w:rPr>
      <w:rFonts w:eastAsiaTheme="majorEastAsia" w:cstheme="majorBidi"/>
      <w:color w:val="272727" w:themeColor="text1" w:themeTint="D8"/>
    </w:rPr>
  </w:style>
  <w:style w:type="paragraph" w:styleId="Title">
    <w:name w:val="Title"/>
    <w:basedOn w:val="Normal"/>
    <w:next w:val="Normal"/>
    <w:link w:val="TitleChar"/>
    <w:uiPriority w:val="10"/>
    <w:qFormat/>
    <w:rsid w:val="000F39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39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39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39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399E"/>
    <w:pPr>
      <w:spacing w:before="160"/>
      <w:jc w:val="center"/>
    </w:pPr>
    <w:rPr>
      <w:i/>
      <w:iCs/>
      <w:color w:val="404040" w:themeColor="text1" w:themeTint="BF"/>
    </w:rPr>
  </w:style>
  <w:style w:type="character" w:customStyle="1" w:styleId="QuoteChar">
    <w:name w:val="Quote Char"/>
    <w:basedOn w:val="DefaultParagraphFont"/>
    <w:link w:val="Quote"/>
    <w:uiPriority w:val="29"/>
    <w:rsid w:val="000F399E"/>
    <w:rPr>
      <w:i/>
      <w:iCs/>
      <w:color w:val="404040" w:themeColor="text1" w:themeTint="BF"/>
    </w:rPr>
  </w:style>
  <w:style w:type="paragraph" w:styleId="ListParagraph">
    <w:name w:val="List Paragraph"/>
    <w:basedOn w:val="Normal"/>
    <w:uiPriority w:val="1"/>
    <w:qFormat/>
    <w:rsid w:val="000F399E"/>
    <w:pPr>
      <w:ind w:left="720"/>
      <w:contextualSpacing/>
    </w:pPr>
  </w:style>
  <w:style w:type="character" w:styleId="IntenseEmphasis">
    <w:name w:val="Intense Emphasis"/>
    <w:basedOn w:val="DefaultParagraphFont"/>
    <w:uiPriority w:val="21"/>
    <w:qFormat/>
    <w:rsid w:val="000F399E"/>
    <w:rPr>
      <w:i/>
      <w:iCs/>
      <w:color w:val="0F4761" w:themeColor="accent1" w:themeShade="BF"/>
    </w:rPr>
  </w:style>
  <w:style w:type="paragraph" w:styleId="IntenseQuote">
    <w:name w:val="Intense Quote"/>
    <w:basedOn w:val="Normal"/>
    <w:next w:val="Normal"/>
    <w:link w:val="IntenseQuoteChar"/>
    <w:uiPriority w:val="30"/>
    <w:qFormat/>
    <w:rsid w:val="000F39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399E"/>
    <w:rPr>
      <w:i/>
      <w:iCs/>
      <w:color w:val="0F4761" w:themeColor="accent1" w:themeShade="BF"/>
    </w:rPr>
  </w:style>
  <w:style w:type="character" w:styleId="IntenseReference">
    <w:name w:val="Intense Reference"/>
    <w:basedOn w:val="DefaultParagraphFont"/>
    <w:uiPriority w:val="32"/>
    <w:qFormat/>
    <w:rsid w:val="000F399E"/>
    <w:rPr>
      <w:b/>
      <w:bCs/>
      <w:smallCaps/>
      <w:color w:val="0F4761" w:themeColor="accent1" w:themeShade="BF"/>
      <w:spacing w:val="5"/>
    </w:rPr>
  </w:style>
  <w:style w:type="character" w:styleId="Hyperlink">
    <w:name w:val="Hyperlink"/>
    <w:basedOn w:val="DefaultParagraphFont"/>
    <w:uiPriority w:val="99"/>
    <w:unhideWhenUsed/>
    <w:rsid w:val="000F399E"/>
    <w:rPr>
      <w:color w:val="467886" w:themeColor="hyperlink"/>
      <w:u w:val="single"/>
    </w:rPr>
  </w:style>
  <w:style w:type="character" w:styleId="UnresolvedMention">
    <w:name w:val="Unresolved Mention"/>
    <w:basedOn w:val="DefaultParagraphFont"/>
    <w:uiPriority w:val="99"/>
    <w:semiHidden/>
    <w:unhideWhenUsed/>
    <w:rsid w:val="000F399E"/>
    <w:rPr>
      <w:color w:val="605E5C"/>
      <w:shd w:val="clear" w:color="auto" w:fill="E1DFDD"/>
    </w:rPr>
  </w:style>
  <w:style w:type="character" w:styleId="FollowedHyperlink">
    <w:name w:val="FollowedHyperlink"/>
    <w:basedOn w:val="DefaultParagraphFont"/>
    <w:uiPriority w:val="99"/>
    <w:semiHidden/>
    <w:unhideWhenUsed/>
    <w:rsid w:val="005D27DF"/>
    <w:rPr>
      <w:color w:val="96607D" w:themeColor="followedHyperlink"/>
      <w:u w:val="single"/>
    </w:rPr>
  </w:style>
  <w:style w:type="paragraph" w:styleId="NormalWeb">
    <w:name w:val="Normal (Web)"/>
    <w:basedOn w:val="Normal"/>
    <w:uiPriority w:val="99"/>
    <w:unhideWhenUsed/>
    <w:rsid w:val="00B25748"/>
    <w:pPr>
      <w:spacing w:before="100" w:beforeAutospacing="1" w:after="100" w:afterAutospacing="1"/>
    </w:pPr>
    <w:rPr>
      <w:rFonts w:ascii="Times New Roman" w:eastAsia="Times New Roman" w:hAnsi="Times New Roman" w:cs="Times New Roman"/>
      <w:kern w:val="0"/>
      <w14:ligatures w14:val="none"/>
    </w:rPr>
  </w:style>
  <w:style w:type="paragraph" w:styleId="HTMLPreformatted">
    <w:name w:val="HTML Preformatted"/>
    <w:basedOn w:val="Normal"/>
    <w:link w:val="HTMLPreformattedChar"/>
    <w:rsid w:val="00224B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rsid w:val="00224B73"/>
    <w:rPr>
      <w:rFonts w:ascii="Courier New" w:eastAsia="Times New Roman" w:hAnsi="Courier New" w:cs="Courier New"/>
      <w:kern w:val="0"/>
      <w:sz w:val="20"/>
      <w:szCs w:val="20"/>
      <w14:ligatures w14:val="none"/>
    </w:rPr>
  </w:style>
  <w:style w:type="character" w:customStyle="1" w:styleId="GrantEmphasisChar">
    <w:name w:val="Grant Emphasis Char"/>
    <w:link w:val="GrantEmphasis"/>
    <w:rsid w:val="008307F3"/>
    <w:rPr>
      <w:rFonts w:asciiTheme="majorHAnsi" w:eastAsia="Calibri" w:hAnsiTheme="majorHAnsi" w:cstheme="minorHAnsi"/>
      <w:i/>
      <w:iCs/>
      <w:color w:val="0070C0"/>
    </w:rPr>
  </w:style>
  <w:style w:type="paragraph" w:customStyle="1" w:styleId="GrantEmphasis">
    <w:name w:val="Grant Emphasis"/>
    <w:link w:val="GrantEmphasisChar"/>
    <w:qFormat/>
    <w:rsid w:val="008307F3"/>
    <w:pPr>
      <w:spacing w:before="240" w:after="120" w:line="240" w:lineRule="auto"/>
    </w:pPr>
    <w:rPr>
      <w:rFonts w:asciiTheme="majorHAnsi" w:eastAsia="Calibri" w:hAnsiTheme="majorHAnsi" w:cstheme="minorHAnsi"/>
      <w:i/>
      <w:iCs/>
      <w:color w:val="0070C0"/>
    </w:rPr>
  </w:style>
  <w:style w:type="paragraph" w:customStyle="1" w:styleId="paragraph">
    <w:name w:val="paragraph"/>
    <w:basedOn w:val="Normal"/>
    <w:rsid w:val="008307F3"/>
    <w:pPr>
      <w:spacing w:before="100" w:beforeAutospacing="1" w:after="100" w:afterAutospacing="1"/>
    </w:pPr>
    <w:rPr>
      <w:rFonts w:ascii="Times New Roman" w:eastAsia="Times New Roman" w:hAnsi="Times New Roman" w:cs="Times New Roman"/>
      <w:kern w:val="0"/>
      <w14:ligatures w14:val="none"/>
    </w:rPr>
  </w:style>
  <w:style w:type="paragraph" w:styleId="NoSpacing">
    <w:name w:val="No Spacing"/>
    <w:uiPriority w:val="1"/>
    <w:qFormat/>
    <w:rsid w:val="008307F3"/>
    <w:pPr>
      <w:spacing w:after="0" w:line="240" w:lineRule="auto"/>
    </w:pPr>
  </w:style>
  <w:style w:type="paragraph" w:styleId="Revision">
    <w:name w:val="Revision"/>
    <w:hidden/>
    <w:uiPriority w:val="99"/>
    <w:semiHidden/>
    <w:rsid w:val="00FE2328"/>
    <w:pPr>
      <w:spacing w:after="0" w:line="240" w:lineRule="auto"/>
    </w:pPr>
  </w:style>
  <w:style w:type="paragraph" w:styleId="BodyText">
    <w:name w:val="Body Text"/>
    <w:basedOn w:val="Normal"/>
    <w:link w:val="BodyTextChar"/>
    <w:uiPriority w:val="1"/>
    <w:qFormat/>
    <w:rsid w:val="00883493"/>
    <w:pPr>
      <w:autoSpaceDE w:val="0"/>
      <w:autoSpaceDN w:val="0"/>
      <w:spacing w:after="120"/>
    </w:pPr>
    <w:rPr>
      <w:rFonts w:ascii="Times" w:eastAsia="Times New Roman" w:hAnsi="Times" w:cs="Times New Roman"/>
      <w:kern w:val="0"/>
      <w:lang w:val="x-none" w:eastAsia="x-none"/>
      <w14:ligatures w14:val="none"/>
    </w:rPr>
  </w:style>
  <w:style w:type="character" w:customStyle="1" w:styleId="BodyTextChar">
    <w:name w:val="Body Text Char"/>
    <w:basedOn w:val="DefaultParagraphFont"/>
    <w:link w:val="BodyText"/>
    <w:uiPriority w:val="1"/>
    <w:rsid w:val="00883493"/>
    <w:rPr>
      <w:rFonts w:ascii="Times" w:eastAsia="Times New Roman" w:hAnsi="Times" w:cs="Times New Roman"/>
      <w:kern w:val="0"/>
      <w:lang w:val="x-none" w:eastAsia="x-none"/>
      <w14:ligatures w14:val="none"/>
    </w:rPr>
  </w:style>
  <w:style w:type="paragraph" w:customStyle="1" w:styleId="DataField11pt-Single">
    <w:name w:val="Data Field 11pt-Single"/>
    <w:basedOn w:val="Normal"/>
    <w:link w:val="DataField11pt-SingleChar"/>
    <w:rsid w:val="000433E0"/>
    <w:pPr>
      <w:autoSpaceDE w:val="0"/>
      <w:autoSpaceDN w:val="0"/>
    </w:pPr>
    <w:rPr>
      <w:rFonts w:ascii="Arial" w:eastAsia="Times New Roman" w:hAnsi="Arial" w:cs="Times New Roman"/>
      <w:kern w:val="0"/>
      <w:sz w:val="22"/>
      <w:szCs w:val="20"/>
      <w:lang w:val="x-none" w:eastAsia="x-none"/>
      <w14:ligatures w14:val="none"/>
    </w:rPr>
  </w:style>
  <w:style w:type="character" w:customStyle="1" w:styleId="DataField11pt-SingleChar">
    <w:name w:val="Data Field 11pt-Single Char"/>
    <w:link w:val="DataField11pt-Single"/>
    <w:rsid w:val="000433E0"/>
    <w:rPr>
      <w:rFonts w:ascii="Arial" w:eastAsia="Times New Roman" w:hAnsi="Arial" w:cs="Times New Roman"/>
      <w:kern w:val="0"/>
      <w:sz w:val="22"/>
      <w:szCs w:val="20"/>
      <w:lang w:val="x-none" w:eastAsia="x-none"/>
      <w14:ligatures w14:val="none"/>
    </w:rPr>
  </w:style>
  <w:style w:type="character" w:styleId="BookTitle">
    <w:name w:val="Book Title"/>
    <w:basedOn w:val="DefaultParagraphFont"/>
    <w:uiPriority w:val="33"/>
    <w:qFormat/>
    <w:rsid w:val="009C5DDF"/>
    <w:rPr>
      <w:b/>
      <w:bCs/>
      <w:i/>
      <w:iCs/>
      <w:spacing w:val="5"/>
    </w:rPr>
  </w:style>
  <w:style w:type="paragraph" w:styleId="Caption">
    <w:name w:val="caption"/>
    <w:basedOn w:val="Normal"/>
    <w:next w:val="Normal"/>
    <w:uiPriority w:val="35"/>
    <w:semiHidden/>
    <w:unhideWhenUsed/>
    <w:qFormat/>
    <w:rsid w:val="009C5DDF"/>
    <w:pPr>
      <w:spacing w:after="200"/>
    </w:pPr>
    <w:rPr>
      <w:i/>
      <w:iCs/>
      <w:color w:val="0E2841" w:themeColor="text2"/>
      <w:sz w:val="18"/>
      <w:szCs w:val="18"/>
    </w:rPr>
  </w:style>
  <w:style w:type="character" w:styleId="Emphasis">
    <w:name w:val="Emphasis"/>
    <w:basedOn w:val="DefaultParagraphFont"/>
    <w:uiPriority w:val="20"/>
    <w:qFormat/>
    <w:rsid w:val="009C5DDF"/>
    <w:rPr>
      <w:i/>
      <w:iCs/>
    </w:rPr>
  </w:style>
  <w:style w:type="character" w:styleId="Strong">
    <w:name w:val="Strong"/>
    <w:basedOn w:val="DefaultParagraphFont"/>
    <w:uiPriority w:val="22"/>
    <w:qFormat/>
    <w:rsid w:val="009C5DDF"/>
    <w:rPr>
      <w:b/>
      <w:bCs/>
    </w:rPr>
  </w:style>
  <w:style w:type="character" w:styleId="SubtleEmphasis">
    <w:name w:val="Subtle Emphasis"/>
    <w:basedOn w:val="DefaultParagraphFont"/>
    <w:uiPriority w:val="19"/>
    <w:qFormat/>
    <w:rsid w:val="009C5DDF"/>
    <w:rPr>
      <w:i/>
      <w:iCs/>
      <w:color w:val="404040" w:themeColor="text1" w:themeTint="BF"/>
    </w:rPr>
  </w:style>
  <w:style w:type="character" w:styleId="SubtleReference">
    <w:name w:val="Subtle Reference"/>
    <w:basedOn w:val="DefaultParagraphFont"/>
    <w:uiPriority w:val="31"/>
    <w:qFormat/>
    <w:rsid w:val="009C5DDF"/>
    <w:rPr>
      <w:smallCaps/>
      <w:color w:val="5A5A5A" w:themeColor="text1" w:themeTint="A5"/>
    </w:rPr>
  </w:style>
  <w:style w:type="paragraph" w:styleId="TOCHeading">
    <w:name w:val="TOC Heading"/>
    <w:basedOn w:val="Heading1"/>
    <w:next w:val="Normal"/>
    <w:uiPriority w:val="39"/>
    <w:semiHidden/>
    <w:unhideWhenUsed/>
    <w:qFormat/>
    <w:rsid w:val="009C5DDF"/>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cats.nih.gov/research/research-activities/ctsa" TargetMode="External"/><Relationship Id="rId3" Type="http://schemas.openxmlformats.org/officeDocument/2006/relationships/styles" Target="styles.xml"/><Relationship Id="rId7" Type="http://schemas.openxmlformats.org/officeDocument/2006/relationships/hyperlink" Target="https://ncats.nih.gov/research/research-activities/cts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go.osu.edu/myctsi"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urldefense.com/v3/__https:/rna.osu.edu/people__;!!AU3bcTlGKuA!FwsqtzlFiRNyxLbZA7QKILnHbR-NZ_iezxh9HPUkvFBPR5KL90A7AZLUZUWvVQkCmpYkdDEZei6mDcfIX4BSmV6FYCE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29330A-896D-E749-BE0A-FF2D3738BD5D}">
  <ds:schemaRefs>
    <ds:schemaRef ds:uri="http://schemas.openxmlformats.org/officeDocument/2006/bibliography"/>
  </ds:schemaRefs>
</ds:datastoreItem>
</file>

<file path=docMetadata/LabelInfo.xml><?xml version="1.0" encoding="utf-8"?>
<clbl:labelList xmlns:clbl="http://schemas.microsoft.com/office/2020/mipLabelMetadata">
  <clbl:label id="{8db864bc-821c-4dd3-a9c9-5002b5129ec6}" enabled="1" method="Standard" siteId="{0b95a125-791c-4f0a-9f9e-99e363117506}"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22</Pages>
  <Words>13697</Words>
  <Characters>85437</Characters>
  <Application>Microsoft Office Word</Application>
  <DocSecurity>0</DocSecurity>
  <Lines>1216</Lines>
  <Paragraphs>286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Crockett, Brooke</dc:creator>
  <cp:keywords/>
  <dc:description/>
  <cp:lastModifiedBy>Hinkle, Ali</cp:lastModifiedBy>
  <cp:revision>2</cp:revision>
  <cp:lastPrinted>2026-09-22T18:33:00Z</cp:lastPrinted>
  <dcterms:created xsi:type="dcterms:W3CDTF">2026-09-25T18:35:00Z</dcterms:created>
  <dcterms:modified xsi:type="dcterms:W3CDTF">2026-09-25T18:35:00Z</dcterms:modified>
</cp:coreProperties>
</file>