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2B9116" w14:textId="77777777" w:rsidR="00DB3B47" w:rsidRPr="00DB3B47" w:rsidRDefault="00DB3B47" w:rsidP="00EB2E3D">
      <w:pPr>
        <w:pStyle w:val="Heading1"/>
      </w:pPr>
      <w:r w:rsidRPr="00DB3B47">
        <w:t>Abigail Wexner Research Institute at Nationwide Children’s Hospital (NCH)</w:t>
      </w:r>
    </w:p>
    <w:p w14:paraId="1F1CB59E" w14:textId="3B3F78DC" w:rsidR="00011F04" w:rsidRPr="00DB3B47" w:rsidRDefault="00DB3B47"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U54 activities</w:t>
      </w:r>
      <w:r w:rsidR="00011F04" w:rsidRPr="00DB3B47">
        <w:rPr>
          <w:rFonts w:ascii="Arial" w:hAnsi="Arial" w:cs="Arial"/>
          <w:kern w:val="2"/>
          <w:sz w:val="22"/>
          <w:szCs w:val="22"/>
          <w:lang w:eastAsia="x-none"/>
        </w:rPr>
        <w:t xml:space="preserve"> will be performed on the campus of the Abigail Wexner Research Institute at Nationwide Children’s Hospital (NCH), the pediatric arm of The Ohio State University Comprehensive Cancer Center (OSUCCC) and on the OSU campus. NCH is located 5.6 miles east of the OSU campus with a 12-minutes shuttle running between the two campuses. NCH faculty are members of the OSUCCC and hold OSU faculty appointments. </w:t>
      </w:r>
    </w:p>
    <w:p w14:paraId="0AC45E0A" w14:textId="291CDE63"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val="x-none" w:eastAsia="x-none"/>
        </w:rPr>
        <w:t xml:space="preserve">Core Directors have unlimited access to all fully AV-equipped conference rooms where </w:t>
      </w:r>
      <w:r w:rsidR="00DB3B47" w:rsidRPr="00DB3B47">
        <w:rPr>
          <w:rFonts w:ascii="Arial" w:hAnsi="Arial" w:cs="Arial"/>
          <w:kern w:val="2"/>
          <w:sz w:val="22"/>
          <w:szCs w:val="22"/>
          <w:lang w:val="x-none" w:eastAsia="x-none"/>
        </w:rPr>
        <w:t>U54</w:t>
      </w:r>
      <w:r w:rsidRPr="00DB3B47">
        <w:rPr>
          <w:rFonts w:ascii="Arial" w:hAnsi="Arial" w:cs="Arial"/>
          <w:kern w:val="2"/>
          <w:sz w:val="22"/>
          <w:szCs w:val="22"/>
          <w:lang w:val="x-none" w:eastAsia="x-none"/>
        </w:rPr>
        <w:t xml:space="preserve"> meetings are held. </w:t>
      </w:r>
    </w:p>
    <w:p w14:paraId="18DB4A4E" w14:textId="77777777" w:rsidR="00011F04" w:rsidRPr="00DB3B47" w:rsidRDefault="00011F04" w:rsidP="00DB3B47">
      <w:pPr>
        <w:widowControl w:val="0"/>
        <w:snapToGrid w:val="0"/>
        <w:spacing w:after="120"/>
        <w:jc w:val="both"/>
        <w:rPr>
          <w:rFonts w:ascii="Arial" w:hAnsi="Arial" w:cs="Arial"/>
          <w:b/>
          <w:bCs/>
          <w:kern w:val="2"/>
          <w:sz w:val="22"/>
          <w:szCs w:val="22"/>
          <w:lang w:eastAsia="x-none"/>
        </w:rPr>
      </w:pPr>
      <w:r w:rsidRPr="00DB3B47">
        <w:rPr>
          <w:rFonts w:ascii="Arial" w:hAnsi="Arial" w:cs="Arial"/>
          <w:b/>
          <w:bCs/>
          <w:kern w:val="2"/>
          <w:sz w:val="22"/>
          <w:szCs w:val="22"/>
          <w:lang w:eastAsia="x-none"/>
        </w:rPr>
        <w:t>1.2 The Abigail Wexner Research Institute at Nationwide Children’s Hospital (NCH)</w:t>
      </w:r>
    </w:p>
    <w:p w14:paraId="2FBE589F"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 xml:space="preserve">The Abigail Wexner Research Institute (AWRI) at Nationwide Children’s Hospital (NCH) is ranked in the top 10 among freestanding children’s hospitals based on NIH funding and is one of the fastest growing pediatric research institutes in the nation. As a 501(c) (3) subsidiary of Nationwide Children’s Hospital, Inc., the Institute is organized into 13 multidisciplinary Centers of Emphasis, the Institute for Genomic Medicine and leading-edge core resources that allow traditional academic boundaries to be crossed and merged. Scientific and clinical interests intersect in this model, which encourages collaboration and the free flow of ideas. More than 180 faculty scientists focus on discoveries to improve child health, ranging from basic molecular biology to translational, patient-oriented, and population health research. Abigail Wexner Research Institute at Nationwide Children’s Hospital (NCH), the pediatric arm of the OSUCCC. NCH is located 5.6 miles east of the OSU campus with a 12-minutes shuttle running between the two campuses. NCH faculty are members of the OSUCCC and hold OSU faculty appointments. </w:t>
      </w:r>
    </w:p>
    <w:p w14:paraId="345A8DC6" w14:textId="452726A9"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 xml:space="preserve">Dr. Dennis Durbin is President of the AWRI (NCH </w:t>
      </w:r>
      <w:r w:rsidRPr="00DB3B47">
        <w:rPr>
          <w:rFonts w:ascii="Arial" w:hAnsi="Arial" w:cs="Arial"/>
          <w:b/>
          <w:bCs/>
          <w:kern w:val="2"/>
          <w:sz w:val="22"/>
          <w:szCs w:val="22"/>
          <w:lang w:eastAsia="x-none"/>
        </w:rPr>
        <w:t>Letter of Support</w:t>
      </w:r>
      <w:r w:rsidRPr="00DB3B47">
        <w:rPr>
          <w:rFonts w:ascii="Arial" w:hAnsi="Arial" w:cs="Arial"/>
          <w:kern w:val="2"/>
          <w:sz w:val="22"/>
          <w:szCs w:val="22"/>
          <w:lang w:eastAsia="x-none"/>
        </w:rPr>
        <w:t xml:space="preserve">). The AWRI is functionally organized into 13 distinct multidisciplinary Centers of Emphasis, including the Center for Childhood Cancer Research (CCCR). </w:t>
      </w:r>
    </w:p>
    <w:p w14:paraId="2E2F36EB" w14:textId="77777777" w:rsidR="00011F04" w:rsidRPr="00DB3B47" w:rsidRDefault="00011F04" w:rsidP="00DB3B47">
      <w:pPr>
        <w:widowControl w:val="0"/>
        <w:snapToGrid w:val="0"/>
        <w:spacing w:after="120"/>
        <w:jc w:val="both"/>
        <w:rPr>
          <w:rFonts w:ascii="Arial" w:hAnsi="Arial" w:cs="Arial"/>
          <w:b/>
          <w:bCs/>
          <w:kern w:val="2"/>
          <w:sz w:val="22"/>
          <w:szCs w:val="22"/>
          <w:lang w:eastAsia="x-none"/>
        </w:rPr>
      </w:pPr>
      <w:r w:rsidRPr="00DB3B47">
        <w:rPr>
          <w:rFonts w:ascii="Arial" w:hAnsi="Arial" w:cs="Arial"/>
          <w:b/>
          <w:bCs/>
          <w:kern w:val="2"/>
          <w:sz w:val="22"/>
          <w:szCs w:val="22"/>
          <w:lang w:eastAsia="x-none"/>
        </w:rPr>
        <w:t>2.1.1 NCH Facilities</w:t>
      </w:r>
    </w:p>
    <w:p w14:paraId="645AB1C1"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i/>
          <w:kern w:val="2"/>
          <w:sz w:val="22"/>
          <w:szCs w:val="22"/>
          <w:lang w:eastAsia="x-none"/>
        </w:rPr>
        <w:t>Overview</w:t>
      </w:r>
      <w:r w:rsidRPr="00DB3B47">
        <w:rPr>
          <w:rFonts w:ascii="Arial" w:hAnsi="Arial" w:cs="Arial"/>
          <w:kern w:val="2"/>
          <w:sz w:val="22"/>
          <w:szCs w:val="22"/>
          <w:lang w:eastAsia="x-none"/>
        </w:rPr>
        <w:t xml:space="preserve"> – The AWRI and OSU College of Medicine Department of Pediatrics are based on the NCH campus in downtown Columbus, OH, within seven miles of the OSU campus. The campus is conveniently located at the intersection of US Interstates 70 and 71, with easy access ramps from the highways and is comprised of four research buildings. Together, these state-of-the-art buildings have over 850,000 square feet (sq ft) of lab and office space dedicated to research. The lower levels are occupied by the animal facilities described below. The first floors house general administrative offices, including grants administration, accounting, and operations; Research Information Services; purchasing; glass washing facilities; and the Biopathology Center (which houses the Children’s Oncology Group tumor bank). The remaining floors consist of research laboratories, investigator offices, and ample space for support personnel and functions. The Institute for Genomic Medicine is housed in Research Building III. Additional research space can be found on two floors in the J West Building, a 160,000 sq ft structure contiguous with the Wexner Institute, as well as in the Near East Office Building and Faculty Office Building, housing non-laboratory-based clinical, epidemiological, and biobehavioral research space. </w:t>
      </w:r>
      <w:proofErr w:type="gramStart"/>
      <w:r w:rsidRPr="00DB3B47">
        <w:rPr>
          <w:rFonts w:ascii="Arial" w:hAnsi="Arial" w:cs="Arial"/>
          <w:kern w:val="2"/>
          <w:sz w:val="22"/>
          <w:szCs w:val="22"/>
          <w:lang w:eastAsia="x-none"/>
        </w:rPr>
        <w:t>All of</w:t>
      </w:r>
      <w:proofErr w:type="gramEnd"/>
      <w:r w:rsidRPr="00DB3B47">
        <w:rPr>
          <w:rFonts w:ascii="Arial" w:hAnsi="Arial" w:cs="Arial"/>
          <w:kern w:val="2"/>
          <w:sz w:val="22"/>
          <w:szCs w:val="22"/>
          <w:lang w:eastAsia="x-none"/>
        </w:rPr>
        <w:t xml:space="preserve"> the buildings are contiguously located on the sprawling campus, with convenient access to childcare services, surgical suites, inpatient and outpatient units, and conference rooms/auditoriums (</w:t>
      </w:r>
      <w:r w:rsidRPr="00DB3B47">
        <w:rPr>
          <w:rFonts w:ascii="Arial" w:hAnsi="Arial" w:cs="Arial"/>
          <w:b/>
          <w:bCs/>
          <w:kern w:val="2"/>
          <w:sz w:val="22"/>
          <w:szCs w:val="22"/>
          <w:lang w:eastAsia="x-none"/>
        </w:rPr>
        <w:t>Figure 1</w:t>
      </w:r>
      <w:r w:rsidRPr="00DB3B47">
        <w:rPr>
          <w:rFonts w:ascii="Arial" w:hAnsi="Arial" w:cs="Arial"/>
          <w:kern w:val="2"/>
          <w:sz w:val="22"/>
          <w:szCs w:val="22"/>
          <w:lang w:eastAsia="x-none"/>
        </w:rPr>
        <w:t>, an aerial photo taken from the southeast of campus).</w:t>
      </w:r>
    </w:p>
    <w:p w14:paraId="066237E5" w14:textId="0A03008F"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 xml:space="preserve">Research Building IV, completed in 2023, is adjacent to Research Building III and provides an additional ~300,000 square feet of dedicated research space. Together, these state-of-the-art buildings comprise ~850,000 square feet (sq ft) of wet lab, core, office, and vivarium space dedicated to research.. The basement vivarium of Research Building IV is contiguous with the current vivarium in Research Building III. </w:t>
      </w:r>
      <w:proofErr w:type="gramStart"/>
      <w:r w:rsidRPr="00DB3B47">
        <w:rPr>
          <w:rFonts w:ascii="Arial" w:hAnsi="Arial" w:cs="Arial"/>
          <w:kern w:val="2"/>
          <w:sz w:val="22"/>
          <w:szCs w:val="22"/>
          <w:lang w:eastAsia="x-none"/>
        </w:rPr>
        <w:t>All of</w:t>
      </w:r>
      <w:proofErr w:type="gramEnd"/>
      <w:r w:rsidRPr="00DB3B47">
        <w:rPr>
          <w:rFonts w:ascii="Arial" w:hAnsi="Arial" w:cs="Arial"/>
          <w:kern w:val="2"/>
          <w:sz w:val="22"/>
          <w:szCs w:val="22"/>
          <w:lang w:eastAsia="x-none"/>
        </w:rPr>
        <w:t xml:space="preserve"> the CCCR laboratories, including those conducting, </w:t>
      </w:r>
      <w:proofErr w:type="gramStart"/>
      <w:r w:rsidRPr="00DB3B47">
        <w:rPr>
          <w:rFonts w:ascii="Arial" w:hAnsi="Arial" w:cs="Arial"/>
          <w:kern w:val="2"/>
          <w:sz w:val="22"/>
          <w:szCs w:val="22"/>
          <w:lang w:eastAsia="x-none"/>
        </w:rPr>
        <w:t>are located in</w:t>
      </w:r>
      <w:proofErr w:type="gramEnd"/>
      <w:r w:rsidRPr="00DB3B47">
        <w:rPr>
          <w:rFonts w:ascii="Arial" w:hAnsi="Arial" w:cs="Arial"/>
          <w:kern w:val="2"/>
          <w:sz w:val="22"/>
          <w:szCs w:val="22"/>
          <w:lang w:eastAsia="x-none"/>
        </w:rPr>
        <w:t xml:space="preserve"> Research Building IV. The building is conveniently located adjacent to a new conference center, ideal for hosting retreats, workshops, and symposia (see closeup arial view taken from the northeast).</w:t>
      </w:r>
    </w:p>
    <w:p w14:paraId="01070C8F" w14:textId="77777777" w:rsidR="00011F04" w:rsidRPr="00DB3B47" w:rsidRDefault="00011F04" w:rsidP="00DB3B47">
      <w:pPr>
        <w:widowControl w:val="0"/>
        <w:snapToGrid w:val="0"/>
        <w:spacing w:after="120"/>
        <w:jc w:val="both"/>
        <w:rPr>
          <w:rFonts w:ascii="Arial" w:hAnsi="Arial" w:cs="Arial"/>
          <w:kern w:val="2"/>
          <w:sz w:val="22"/>
          <w:szCs w:val="22"/>
          <w:lang w:eastAsia="x-none"/>
        </w:rPr>
      </w:pPr>
    </w:p>
    <w:p w14:paraId="06797E8D"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i/>
          <w:kern w:val="2"/>
          <w:sz w:val="22"/>
          <w:szCs w:val="22"/>
          <w:lang w:eastAsia="x-none"/>
        </w:rPr>
        <w:t>Laboratory Facilities</w:t>
      </w:r>
      <w:r w:rsidRPr="00DB3B47">
        <w:rPr>
          <w:rFonts w:ascii="Arial" w:hAnsi="Arial" w:cs="Arial"/>
          <w:b/>
          <w:kern w:val="2"/>
          <w:sz w:val="22"/>
          <w:szCs w:val="22"/>
          <w:lang w:eastAsia="x-none"/>
        </w:rPr>
        <w:t xml:space="preserve"> </w:t>
      </w:r>
      <w:r w:rsidRPr="00DB3B47">
        <w:rPr>
          <w:rFonts w:ascii="Arial" w:hAnsi="Arial" w:cs="Arial"/>
          <w:kern w:val="2"/>
          <w:sz w:val="22"/>
          <w:szCs w:val="22"/>
          <w:lang w:eastAsia="x-none"/>
        </w:rPr>
        <w:t xml:space="preserve">– The standard laboratory for principal investigators (PIs) is modular and averages ~1200 sq ft. These labs contain both fixed and movable benches, fume hoods with chemical storage cabinet, 208 V outlets for large equipment, 18 megohm Type I reagent grade deionized/reverse osmosis water and high-speed computer access to facilitate data capture and transfer. In addition, each laboratory floor contains adjacent hallway common equipment space that includes procedure rooms, tissue culture rooms with biological safety cabinets and centrally plumbed carbon dioxide in each, autoclaves, walk-in cold rooms, icemakers, darkrooms, and microscopy suites. In addition, each floor has dedicated space for eating and conference rooms. Trainee and staff desk space is located directly adjacent to the laboratory space and next to exterior windows, which </w:t>
      </w:r>
      <w:r w:rsidRPr="00DB3B47">
        <w:rPr>
          <w:rFonts w:ascii="Arial" w:hAnsi="Arial" w:cs="Arial"/>
          <w:kern w:val="2"/>
          <w:sz w:val="22"/>
          <w:szCs w:val="22"/>
          <w:lang w:eastAsia="x-none"/>
        </w:rPr>
        <w:lastRenderedPageBreak/>
        <w:t xml:space="preserve">provide an additional source of natural light. Office space for each PI is generally found on the same floor as his/her laboratory and averages 120 sq ft. Each office is provided with a desk, filing cabinets, shelves, computers, and a printer. Administrative assistants are located outside of PIs’ offices. Researchers are also supported by a collective of shared resources (scientific core facilities) that offer leading-edge analyses, processes, and systems that offer an array of options for basic, clinical, and translational investigation (for details see below). </w:t>
      </w:r>
    </w:p>
    <w:p w14:paraId="7DF8AE54"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i/>
          <w:kern w:val="2"/>
          <w:sz w:val="22"/>
          <w:szCs w:val="22"/>
          <w:lang w:eastAsia="x-none"/>
        </w:rPr>
        <w:t>Major Equipment</w:t>
      </w:r>
      <w:r w:rsidRPr="00DB3B47">
        <w:rPr>
          <w:rFonts w:ascii="Arial" w:hAnsi="Arial" w:cs="Arial"/>
          <w:kern w:val="2"/>
          <w:sz w:val="22"/>
          <w:szCs w:val="22"/>
          <w:lang w:eastAsia="x-none"/>
        </w:rPr>
        <w:t xml:space="preserve"> – All research laboratories and common equipment areas are equipped with standard items necessary for modern molecular biological research, including equipment for electrophoresis, cell culture, centrifugation (ultra, high speed, tabletop, and micro centrifuges), thermal cyclers, </w:t>
      </w:r>
      <w:proofErr w:type="spellStart"/>
      <w:r w:rsidRPr="00DB3B47">
        <w:rPr>
          <w:rFonts w:ascii="Arial" w:hAnsi="Arial" w:cs="Arial"/>
          <w:kern w:val="2"/>
          <w:sz w:val="22"/>
          <w:szCs w:val="22"/>
          <w:lang w:eastAsia="x-none"/>
        </w:rPr>
        <w:t>speedvacs</w:t>
      </w:r>
      <w:proofErr w:type="spellEnd"/>
      <w:r w:rsidRPr="00DB3B47">
        <w:rPr>
          <w:rFonts w:ascii="Arial" w:hAnsi="Arial" w:cs="Arial"/>
          <w:kern w:val="2"/>
          <w:sz w:val="22"/>
          <w:szCs w:val="22"/>
          <w:lang w:eastAsia="x-none"/>
        </w:rPr>
        <w:t>, microplate readers, pH meters, balances, shakers, ovens (microwave, high-temp, vacuum), refrigerators, freezers, and a high-quality house water purification system.</w:t>
      </w:r>
    </w:p>
    <w:p w14:paraId="4844C050" w14:textId="3039154A"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u w:val="single"/>
          <w:lang w:eastAsia="x-none"/>
        </w:rPr>
        <w:t>Center for Childhood Cancer Research</w:t>
      </w:r>
      <w:r w:rsidRPr="00DB3B47">
        <w:rPr>
          <w:rFonts w:ascii="Arial" w:hAnsi="Arial" w:cs="Arial"/>
          <w:kern w:val="2"/>
          <w:sz w:val="22"/>
          <w:szCs w:val="22"/>
          <w:lang w:eastAsia="x-none"/>
        </w:rPr>
        <w:t>. The Center for Childhood Cancer Research currently includes 13 research laboratories (all housed on the 4</w:t>
      </w:r>
      <w:r w:rsidRPr="00DB3B47">
        <w:rPr>
          <w:rFonts w:ascii="Arial" w:hAnsi="Arial" w:cs="Arial"/>
          <w:kern w:val="2"/>
          <w:sz w:val="22"/>
          <w:szCs w:val="22"/>
          <w:vertAlign w:val="superscript"/>
          <w:lang w:eastAsia="x-none"/>
        </w:rPr>
        <w:t>th</w:t>
      </w:r>
      <w:r w:rsidRPr="00DB3B47">
        <w:rPr>
          <w:rFonts w:ascii="Arial" w:hAnsi="Arial" w:cs="Arial"/>
          <w:kern w:val="2"/>
          <w:sz w:val="22"/>
          <w:szCs w:val="22"/>
          <w:lang w:eastAsia="x-none"/>
        </w:rPr>
        <w:t xml:space="preserve"> and 5</w:t>
      </w:r>
      <w:r w:rsidRPr="00DB3B47">
        <w:rPr>
          <w:rFonts w:ascii="Arial" w:hAnsi="Arial" w:cs="Arial"/>
          <w:kern w:val="2"/>
          <w:sz w:val="22"/>
          <w:szCs w:val="22"/>
          <w:vertAlign w:val="superscript"/>
          <w:lang w:eastAsia="x-none"/>
        </w:rPr>
        <w:t>th</w:t>
      </w:r>
      <w:r w:rsidRPr="00DB3B47">
        <w:rPr>
          <w:rFonts w:ascii="Arial" w:hAnsi="Arial" w:cs="Arial"/>
          <w:kern w:val="2"/>
          <w:sz w:val="22"/>
          <w:szCs w:val="22"/>
          <w:lang w:eastAsia="x-none"/>
        </w:rPr>
        <w:t xml:space="preserve"> floors of Research Building IV) focused on various aspects of pediatric cancer, including investigations in chromosomal function and dysfunction, transcription and epigenetics, small and long non-coding RNAs, RNA processing and splicing, normal and cancer metabolism, cancer cell biology, metastatic processes, tumor-host interaction (including immune-based processes), and oncolytic viral and gene therapies. The Center is directed by Dr. Alex Bishop, an expert in Ewing sarcoma and DNA repair. The Center and the clinical division form an integrated research and clinical operation that is uniquely positioned to support basic, translational, clinical, and population-based research and move that research forward to patients. At the same time, this integration allows bench-based scientists with ready access to clinical investigators and materials. These interactions are fostered by multiple seminars, symposium, research meetings, presentations, visiting professors, and the like. Furthermore, collaboration is strongly supported, both within the Center and Division as well as with other Centers, Divisions, and Departments at the Research Institute and NCH. Additional collaborations are encouraged through interactions with OSUCCC. </w:t>
      </w:r>
    </w:p>
    <w:p w14:paraId="109297F4" w14:textId="77777777" w:rsidR="00011F04" w:rsidRPr="00DB3B47" w:rsidRDefault="00011F04" w:rsidP="00DB3B47">
      <w:pPr>
        <w:widowControl w:val="0"/>
        <w:snapToGrid w:val="0"/>
        <w:spacing w:after="120"/>
        <w:jc w:val="both"/>
        <w:rPr>
          <w:rFonts w:ascii="Arial" w:hAnsi="Arial" w:cs="Arial"/>
          <w:iCs/>
          <w:kern w:val="2"/>
          <w:sz w:val="22"/>
          <w:szCs w:val="22"/>
          <w:u w:val="single"/>
          <w:lang w:eastAsia="x-none"/>
        </w:rPr>
      </w:pPr>
      <w:r w:rsidRPr="00DB3B47">
        <w:rPr>
          <w:rFonts w:ascii="Arial" w:hAnsi="Arial" w:cs="Arial"/>
          <w:iCs/>
          <w:kern w:val="2"/>
          <w:sz w:val="22"/>
          <w:szCs w:val="22"/>
          <w:u w:val="single"/>
          <w:lang w:eastAsia="x-none"/>
        </w:rPr>
        <w:t>Computational Resources</w:t>
      </w:r>
    </w:p>
    <w:p w14:paraId="62DC2BC7"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Research Information Technology (RIT) provides a high-speed, secure network of microcomputers (both PC and Macintosh) with access to high-quality printing services and a variety of sophisticated software packages to the research community. Services include storage; disaster recovery; information backup; publication and presentation graphic support services; high-definition audio-visual systems; and VPN connectivity to networks outside the organization for collaborative research, the NCH local area network, Ohio’s Supercomputer Center and disaster recovery datacenter; enterprise systems support and development; and hardware systems (PC and MAC) setup and support. Research Data and Computing (RDC) provides services in clinical research or clinical trial data management, basic research data management, statistical software support, research project website design and development, project management and collaboration tools, scientific software support, and high-performance computing.</w:t>
      </w:r>
    </w:p>
    <w:p w14:paraId="253BB8D6" w14:textId="77777777" w:rsidR="00011F04" w:rsidRPr="00DB3B47" w:rsidRDefault="00011F04" w:rsidP="00651BD0">
      <w:pPr>
        <w:widowControl w:val="0"/>
        <w:numPr>
          <w:ilvl w:val="0"/>
          <w:numId w:val="36"/>
        </w:numPr>
        <w:snapToGrid w:val="0"/>
        <w:spacing w:after="120"/>
        <w:ind w:left="0" w:firstLine="0"/>
        <w:jc w:val="both"/>
        <w:rPr>
          <w:rFonts w:ascii="Arial" w:hAnsi="Arial" w:cs="Arial"/>
          <w:b/>
          <w:bCs/>
          <w:kern w:val="2"/>
          <w:sz w:val="22"/>
          <w:szCs w:val="22"/>
          <w:lang w:val="x-none" w:eastAsia="x-none"/>
        </w:rPr>
      </w:pPr>
      <w:r w:rsidRPr="00DB3B47">
        <w:rPr>
          <w:rFonts w:ascii="Arial" w:hAnsi="Arial" w:cs="Arial"/>
          <w:b/>
          <w:bCs/>
          <w:kern w:val="2"/>
          <w:sz w:val="22"/>
          <w:szCs w:val="22"/>
          <w:lang w:val="x-none" w:eastAsia="x-none"/>
        </w:rPr>
        <w:t>Resources</w:t>
      </w:r>
    </w:p>
    <w:p w14:paraId="7F2EBC3C" w14:textId="77777777" w:rsidR="00011F04" w:rsidRPr="00DB3B47" w:rsidRDefault="00011F04" w:rsidP="00651BD0">
      <w:pPr>
        <w:widowControl w:val="0"/>
        <w:numPr>
          <w:ilvl w:val="1"/>
          <w:numId w:val="36"/>
        </w:numPr>
        <w:snapToGrid w:val="0"/>
        <w:spacing w:after="120"/>
        <w:ind w:left="0" w:firstLine="0"/>
        <w:jc w:val="both"/>
        <w:rPr>
          <w:rFonts w:ascii="Arial" w:hAnsi="Arial" w:cs="Arial"/>
          <w:b/>
          <w:kern w:val="2"/>
          <w:sz w:val="22"/>
          <w:szCs w:val="22"/>
          <w:lang w:eastAsia="x-none"/>
        </w:rPr>
      </w:pPr>
      <w:r w:rsidRPr="00DB3B47">
        <w:rPr>
          <w:rFonts w:ascii="Arial" w:hAnsi="Arial" w:cs="Arial"/>
          <w:b/>
          <w:kern w:val="2"/>
          <w:sz w:val="22"/>
          <w:szCs w:val="22"/>
          <w:lang w:eastAsia="x-none"/>
        </w:rPr>
        <w:t>Abigail Wexner Research Institute Shared Resources</w:t>
      </w:r>
    </w:p>
    <w:p w14:paraId="3EF8497A"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 xml:space="preserve">The NCH Division of Hematology/Oncology/BMT Clinical Research Office (CRO) has current staffing of 42 full-time members who have successfully grown the program’s accruals each year. Since 2018, 2,130 patients have been enrolled on studies and 1690 new trials have been launched. The focus has been on protocol compliance, data completion, timeliness and training for all staff. These accruals represent several collaborative groups: Children’s Oncology Group (COG), Beat Childhood Cancer (formerly NMTRC), Therapeutic Advances in Childhood Leukemia/Lymphoma (TACL), Pediatric Blood and Marrow Transplant Consortium (PBMTC), National Pediatric Cancer Foundation (NPCF), Sunshine Consortium and the Pediatric Neuro-oncology Consortium (PNOC). </w:t>
      </w:r>
    </w:p>
    <w:p w14:paraId="56279493"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Data entry and management are completed by trained Research Nurses and Clinical Research Coordinators (CRCs). Data timeliness is tracked by the On-line Clinical Oncology Research Environment (</w:t>
      </w:r>
      <w:proofErr w:type="spellStart"/>
      <w:r w:rsidRPr="00DB3B47">
        <w:rPr>
          <w:rFonts w:ascii="Arial" w:hAnsi="Arial" w:cs="Arial"/>
          <w:kern w:val="2"/>
          <w:sz w:val="22"/>
          <w:szCs w:val="22"/>
          <w:lang w:eastAsia="x-none"/>
        </w:rPr>
        <w:t>OnCore</w:t>
      </w:r>
      <w:proofErr w:type="spellEnd"/>
      <w:r w:rsidRPr="00DB3B47">
        <w:rPr>
          <w:rFonts w:ascii="Arial" w:hAnsi="Arial" w:cs="Arial"/>
          <w:kern w:val="2"/>
          <w:sz w:val="22"/>
          <w:szCs w:val="22"/>
          <w:lang w:eastAsia="x-none"/>
        </w:rPr>
        <w:t xml:space="preserve">) Management System. </w:t>
      </w:r>
      <w:proofErr w:type="spellStart"/>
      <w:r w:rsidRPr="00DB3B47">
        <w:rPr>
          <w:rFonts w:ascii="Arial" w:hAnsi="Arial" w:cs="Arial"/>
          <w:kern w:val="2"/>
          <w:sz w:val="22"/>
          <w:szCs w:val="22"/>
          <w:lang w:eastAsia="x-none"/>
        </w:rPr>
        <w:t>OnCore</w:t>
      </w:r>
      <w:proofErr w:type="spellEnd"/>
      <w:r w:rsidRPr="00DB3B47">
        <w:rPr>
          <w:rFonts w:ascii="Arial" w:hAnsi="Arial" w:cs="Arial"/>
          <w:kern w:val="2"/>
          <w:sz w:val="22"/>
          <w:szCs w:val="22"/>
          <w:lang w:eastAsia="x-none"/>
        </w:rPr>
        <w:t xml:space="preserve"> provides calendars for each patient, and weekly reports reviewed by the Lead Clinical Research Coordinator to ensure timeliness of study activities and accuracy of data collection. Three positions focus on the functions of streamlining data collection and accuracy for all early phase research. The Lead Clinical Research Coordinator, Lead Data Coordinator and Quality and Regulatory Coordinator positions work closely with consortia, principal investigators and CRO staff to ensure protocol compliance and efficiency in data entry. In addition, the Lead Data Coordinator and Quality Coordinator positions oversee timeliness and accuracy of Data Safety Monitoring Board (DSMB) reporting, adverse event reporting and SAE reporting, interim </w:t>
      </w:r>
      <w:r w:rsidRPr="00DB3B47">
        <w:rPr>
          <w:rFonts w:ascii="Arial" w:hAnsi="Arial" w:cs="Arial"/>
          <w:kern w:val="2"/>
          <w:sz w:val="22"/>
          <w:szCs w:val="22"/>
          <w:lang w:eastAsia="x-none"/>
        </w:rPr>
        <w:lastRenderedPageBreak/>
        <w:t xml:space="preserve">reports and any updates to sub-sites regarding data relating to consortium trials. </w:t>
      </w:r>
    </w:p>
    <w:p w14:paraId="477BC1A4"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 xml:space="preserve">The </w:t>
      </w:r>
      <w:r w:rsidRPr="00DB3B47">
        <w:rPr>
          <w:rFonts w:ascii="Arial" w:hAnsi="Arial" w:cs="Arial"/>
          <w:b/>
          <w:bCs/>
          <w:kern w:val="2"/>
          <w:sz w:val="22"/>
          <w:szCs w:val="22"/>
          <w:lang w:eastAsia="x-none"/>
        </w:rPr>
        <w:t>NCH CRO</w:t>
      </w:r>
      <w:r w:rsidRPr="00DB3B47">
        <w:rPr>
          <w:rFonts w:ascii="Arial" w:hAnsi="Arial" w:cs="Arial"/>
          <w:kern w:val="2"/>
          <w:sz w:val="22"/>
          <w:szCs w:val="22"/>
          <w:lang w:eastAsia="x-none"/>
        </w:rPr>
        <w:t xml:space="preserve"> has approximately 200 open research studies that involve ten collaborating consortia. Each collaborating consortium has different electronic submission platforms for data that are utilized by trained clinical research professionals. Staff members are trained on US DHHS Code of Federal Regulations, PHI, HIPAA Privacy Rules and IRB approval standards. Log-in credentials are created by CRO staff members following training for each study. Each staff member is trained on the Part 11 Title 21 CFR Electronic Records: Electronic Signatures Guidelines.</w:t>
      </w:r>
    </w:p>
    <w:p w14:paraId="71C07C2E"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Each year, more than 200 patients are diagnosed with cancer at Nationwide Children’s. Annually, inpatient admissions and outpatient visits exceed 13,000 in total. NCH offers world-class diagnostic, treatment and research facilities that provide comprehensive, multidisciplinary care for patients with cancer and acute and chronic blood disorders. The Division of Hematology, Oncology &amp; Blood and Marrow Transplant (Hem/</w:t>
      </w:r>
      <w:proofErr w:type="spellStart"/>
      <w:r w:rsidRPr="00DB3B47">
        <w:rPr>
          <w:rFonts w:ascii="Arial" w:hAnsi="Arial" w:cs="Arial"/>
          <w:kern w:val="2"/>
          <w:sz w:val="22"/>
          <w:szCs w:val="22"/>
          <w:lang w:eastAsia="x-none"/>
        </w:rPr>
        <w:t>Onc</w:t>
      </w:r>
      <w:proofErr w:type="spellEnd"/>
      <w:r w:rsidRPr="00DB3B47">
        <w:rPr>
          <w:rFonts w:ascii="Arial" w:hAnsi="Arial" w:cs="Arial"/>
          <w:kern w:val="2"/>
          <w:sz w:val="22"/>
          <w:szCs w:val="22"/>
          <w:lang w:eastAsia="x-none"/>
        </w:rPr>
        <w:t>/BMT) at Nationwide Children’s is one of the largest in the United States and ranked in the top 5 pediatric cancer programs in the US in 2025 by US News and World Report. The Hem/</w:t>
      </w:r>
      <w:proofErr w:type="spellStart"/>
      <w:r w:rsidRPr="00DB3B47">
        <w:rPr>
          <w:rFonts w:ascii="Arial" w:hAnsi="Arial" w:cs="Arial"/>
          <w:kern w:val="2"/>
          <w:sz w:val="22"/>
          <w:szCs w:val="22"/>
          <w:lang w:eastAsia="x-none"/>
        </w:rPr>
        <w:t>Onc</w:t>
      </w:r>
      <w:proofErr w:type="spellEnd"/>
      <w:r w:rsidRPr="00DB3B47">
        <w:rPr>
          <w:rFonts w:ascii="Arial" w:hAnsi="Arial" w:cs="Arial"/>
          <w:kern w:val="2"/>
          <w:sz w:val="22"/>
          <w:szCs w:val="22"/>
          <w:lang w:eastAsia="x-none"/>
        </w:rPr>
        <w:t xml:space="preserve">/BMT CRO office at Nationwide Children’s is a full-service project management office for clinical trials. The focus is on disease team buy-in, risk mitigation, operational processes and workflow, which enables us to provide the results needed to bring advanced therapeutics from the bench to the bedside. There is expertise in both national and international clinical trial management. </w:t>
      </w:r>
    </w:p>
    <w:p w14:paraId="0068D51E"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Shared resources and units are significantly subsidized by the AWRI to provide significant cost savings to researchers. These resources include:</w:t>
      </w:r>
    </w:p>
    <w:p w14:paraId="50C4A2A9" w14:textId="77777777" w:rsidR="00011F04" w:rsidRPr="00DB3B47" w:rsidRDefault="00011F04" w:rsidP="00651BD0">
      <w:pPr>
        <w:widowControl w:val="0"/>
        <w:numPr>
          <w:ilvl w:val="2"/>
          <w:numId w:val="36"/>
        </w:numPr>
        <w:snapToGrid w:val="0"/>
        <w:spacing w:after="120"/>
        <w:ind w:left="0" w:firstLine="0"/>
        <w:jc w:val="both"/>
        <w:rPr>
          <w:rFonts w:ascii="Arial" w:hAnsi="Arial" w:cs="Arial"/>
          <w:kern w:val="2"/>
          <w:sz w:val="22"/>
          <w:szCs w:val="22"/>
          <w:lang w:eastAsia="x-none"/>
        </w:rPr>
      </w:pPr>
      <w:r w:rsidRPr="00DB3B47">
        <w:rPr>
          <w:rFonts w:ascii="Arial" w:hAnsi="Arial" w:cs="Arial"/>
          <w:b/>
          <w:bCs/>
          <w:kern w:val="2"/>
          <w:sz w:val="22"/>
          <w:szCs w:val="22"/>
          <w:lang w:eastAsia="x-none"/>
        </w:rPr>
        <w:t>The Institute for Genomic Medicine (IGM</w:t>
      </w:r>
      <w:r w:rsidRPr="00DB3B47">
        <w:rPr>
          <w:rFonts w:ascii="Arial" w:hAnsi="Arial" w:cs="Arial"/>
          <w:b/>
          <w:kern w:val="2"/>
          <w:sz w:val="22"/>
          <w:szCs w:val="22"/>
          <w:lang w:eastAsia="x-none"/>
        </w:rPr>
        <w:t>)</w:t>
      </w:r>
    </w:p>
    <w:p w14:paraId="22A1012B" w14:textId="18F27939" w:rsidR="00011F04" w:rsidRPr="00DB3B47" w:rsidRDefault="00011F04" w:rsidP="00DB3B47">
      <w:pPr>
        <w:widowControl w:val="0"/>
        <w:snapToGrid w:val="0"/>
        <w:spacing w:after="120"/>
        <w:jc w:val="both"/>
        <w:rPr>
          <w:rFonts w:ascii="Arial" w:hAnsi="Arial" w:cs="Arial"/>
          <w:b/>
          <w:bCs/>
          <w:kern w:val="2"/>
          <w:sz w:val="22"/>
          <w:szCs w:val="22"/>
          <w:lang w:eastAsia="x-none"/>
        </w:rPr>
      </w:pPr>
      <w:r w:rsidRPr="00DB3B47">
        <w:rPr>
          <w:rFonts w:ascii="Arial" w:hAnsi="Arial" w:cs="Arial"/>
          <w:kern w:val="2"/>
          <w:sz w:val="22"/>
          <w:szCs w:val="22"/>
          <w:lang w:eastAsia="x-none"/>
        </w:rPr>
        <w:t xml:space="preserve">The IGM is a nationally recognized provider of expertise in multiple aspects of genomics data generation and analysis. IGM capabilities include consultation and assistance with experimental design, quality control of starting material (DNA or RNA), large-scale production of array-based and next-generation sequencing data, bioinformatics, statistical analysis, and interpretation. IGM is housed in Research Building III on the NCH campus, and presently comprises three units: Data Sciences, Biomedical Genomics, and Clinical Genomics. </w:t>
      </w:r>
    </w:p>
    <w:p w14:paraId="15B69355" w14:textId="77777777" w:rsidR="00011F04" w:rsidRPr="00DB3B47" w:rsidRDefault="00011F04" w:rsidP="00DB3B47">
      <w:pPr>
        <w:widowControl w:val="0"/>
        <w:snapToGrid w:val="0"/>
        <w:spacing w:after="120"/>
        <w:jc w:val="both"/>
        <w:rPr>
          <w:rFonts w:ascii="Arial" w:hAnsi="Arial" w:cs="Arial"/>
          <w:b/>
          <w:bCs/>
          <w:kern w:val="2"/>
          <w:sz w:val="22"/>
          <w:szCs w:val="22"/>
          <w:lang w:eastAsia="x-none"/>
        </w:rPr>
      </w:pPr>
      <w:r w:rsidRPr="00DB3B47">
        <w:rPr>
          <w:rFonts w:ascii="Arial" w:hAnsi="Arial" w:cs="Arial"/>
          <w:b/>
          <w:bCs/>
          <w:kern w:val="2"/>
          <w:sz w:val="22"/>
          <w:szCs w:val="22"/>
          <w:lang w:eastAsia="x-none"/>
        </w:rPr>
        <w:t xml:space="preserve">IGM Senior Management Team  </w:t>
      </w:r>
    </w:p>
    <w:p w14:paraId="183EED03"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 xml:space="preserve">Dr. Richard K. Wilson, Executive Director, and Dr. </w:t>
      </w:r>
      <w:r w:rsidRPr="00DB3B47">
        <w:rPr>
          <w:rFonts w:ascii="Arial" w:hAnsi="Arial" w:cs="Arial"/>
          <w:bCs/>
          <w:kern w:val="2"/>
          <w:sz w:val="22"/>
          <w:szCs w:val="22"/>
          <w:lang w:eastAsia="x-none"/>
        </w:rPr>
        <w:t>Elaine R. Mardis</w:t>
      </w:r>
      <w:r w:rsidRPr="00DB3B47">
        <w:rPr>
          <w:rFonts w:ascii="Arial" w:hAnsi="Arial" w:cs="Arial"/>
          <w:kern w:val="2"/>
          <w:sz w:val="22"/>
          <w:szCs w:val="22"/>
          <w:lang w:eastAsia="x-none"/>
        </w:rPr>
        <w:t xml:space="preserve">, Co-Executive Director. </w:t>
      </w:r>
    </w:p>
    <w:p w14:paraId="41174A5B"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b/>
          <w:bCs/>
          <w:kern w:val="2"/>
          <w:sz w:val="22"/>
          <w:szCs w:val="22"/>
          <w:lang w:eastAsia="x-none"/>
        </w:rPr>
        <w:t xml:space="preserve">IGM Genomics Services Laboratory </w:t>
      </w:r>
      <w:r w:rsidRPr="00DB3B47">
        <w:rPr>
          <w:rFonts w:ascii="Arial" w:hAnsi="Arial" w:cs="Arial"/>
          <w:kern w:val="2"/>
          <w:sz w:val="22"/>
          <w:szCs w:val="22"/>
          <w:lang w:eastAsia="x-none"/>
        </w:rPr>
        <w:t xml:space="preserve">has over a decade of experience with next-generation sequencing (NGS) data generation and analysis. The GSL can assist investigators with multiple aspects of next-generation sequencing, including experimental design, library preparation, sequence generation and data analysis. Advanced bioinformatics support for analyzing complex sequencing datasets, including integrated DNA and RNA sequence data, is a demonstrated strength. </w:t>
      </w:r>
    </w:p>
    <w:p w14:paraId="358C5CBA"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 xml:space="preserve">The GSL offers data generation using multiple Illumina NGS systems, including three </w:t>
      </w:r>
      <w:proofErr w:type="spellStart"/>
      <w:r w:rsidRPr="00DB3B47">
        <w:rPr>
          <w:rFonts w:ascii="Arial" w:hAnsi="Arial" w:cs="Arial"/>
          <w:b/>
          <w:i/>
          <w:kern w:val="2"/>
          <w:sz w:val="22"/>
          <w:szCs w:val="22"/>
          <w:lang w:eastAsia="x-none"/>
        </w:rPr>
        <w:t>NovaSeq</w:t>
      </w:r>
      <w:proofErr w:type="spellEnd"/>
      <w:r w:rsidRPr="00DB3B47">
        <w:rPr>
          <w:rFonts w:ascii="Arial" w:hAnsi="Arial" w:cs="Arial"/>
          <w:b/>
          <w:i/>
          <w:kern w:val="2"/>
          <w:sz w:val="22"/>
          <w:szCs w:val="22"/>
          <w:lang w:eastAsia="x-none"/>
        </w:rPr>
        <w:t xml:space="preserve"> 6000</w:t>
      </w:r>
      <w:r w:rsidRPr="00DB3B47">
        <w:rPr>
          <w:rFonts w:ascii="Arial" w:hAnsi="Arial" w:cs="Arial"/>
          <w:kern w:val="2"/>
          <w:sz w:val="22"/>
          <w:szCs w:val="22"/>
          <w:lang w:eastAsia="x-none"/>
        </w:rPr>
        <w:t xml:space="preserve"> instruments. The </w:t>
      </w:r>
      <w:proofErr w:type="spellStart"/>
      <w:r w:rsidRPr="00DB3B47">
        <w:rPr>
          <w:rFonts w:ascii="Arial" w:hAnsi="Arial" w:cs="Arial"/>
          <w:b/>
          <w:i/>
          <w:kern w:val="2"/>
          <w:sz w:val="22"/>
          <w:szCs w:val="22"/>
          <w:lang w:eastAsia="x-none"/>
        </w:rPr>
        <w:t>NovaSeq</w:t>
      </w:r>
      <w:proofErr w:type="spellEnd"/>
      <w:r w:rsidRPr="00DB3B47">
        <w:rPr>
          <w:rFonts w:ascii="Arial" w:hAnsi="Arial" w:cs="Arial"/>
          <w:b/>
          <w:i/>
          <w:kern w:val="2"/>
          <w:sz w:val="22"/>
          <w:szCs w:val="22"/>
          <w:lang w:eastAsia="x-none"/>
        </w:rPr>
        <w:t xml:space="preserve"> 6000</w:t>
      </w:r>
      <w:r w:rsidRPr="00DB3B47">
        <w:rPr>
          <w:rFonts w:ascii="Arial" w:hAnsi="Arial" w:cs="Arial"/>
          <w:kern w:val="2"/>
          <w:sz w:val="22"/>
          <w:szCs w:val="22"/>
          <w:lang w:eastAsia="x-none"/>
        </w:rPr>
        <w:t xml:space="preserve"> system provides high throughput, speed, and flexibility in sequencing options with multiple flow cell types (SP, S1, S2, and S4) and various read lengths (50-250 base pairs). Sequencing </w:t>
      </w:r>
      <w:r w:rsidRPr="00DB3B47">
        <w:rPr>
          <w:rFonts w:ascii="Arial" w:hAnsi="Arial" w:cs="Arial"/>
          <w:b/>
          <w:i/>
          <w:kern w:val="2"/>
          <w:sz w:val="22"/>
          <w:szCs w:val="22"/>
          <w:lang w:eastAsia="x-none"/>
        </w:rPr>
        <w:t xml:space="preserve">on S4 </w:t>
      </w:r>
      <w:proofErr w:type="spellStart"/>
      <w:r w:rsidRPr="00DB3B47">
        <w:rPr>
          <w:rFonts w:ascii="Arial" w:hAnsi="Arial" w:cs="Arial"/>
          <w:b/>
          <w:i/>
          <w:kern w:val="2"/>
          <w:sz w:val="22"/>
          <w:szCs w:val="22"/>
          <w:lang w:eastAsia="x-none"/>
        </w:rPr>
        <w:t>NovaSeq</w:t>
      </w:r>
      <w:proofErr w:type="spellEnd"/>
      <w:r w:rsidRPr="00DB3B47">
        <w:rPr>
          <w:rFonts w:ascii="Arial" w:hAnsi="Arial" w:cs="Arial"/>
          <w:b/>
          <w:i/>
          <w:kern w:val="2"/>
          <w:sz w:val="22"/>
          <w:szCs w:val="22"/>
          <w:lang w:eastAsia="x-none"/>
        </w:rPr>
        <w:t xml:space="preserve"> 6000</w:t>
      </w:r>
      <w:r w:rsidRPr="00DB3B47">
        <w:rPr>
          <w:rFonts w:ascii="Arial" w:hAnsi="Arial" w:cs="Arial"/>
          <w:kern w:val="2"/>
          <w:sz w:val="22"/>
          <w:szCs w:val="22"/>
          <w:lang w:eastAsia="x-none"/>
        </w:rPr>
        <w:t xml:space="preserve"> flow cells can generate over 6 </w:t>
      </w:r>
      <w:proofErr w:type="spellStart"/>
      <w:r w:rsidRPr="00DB3B47">
        <w:rPr>
          <w:rFonts w:ascii="Arial" w:hAnsi="Arial" w:cs="Arial"/>
          <w:kern w:val="2"/>
          <w:sz w:val="22"/>
          <w:szCs w:val="22"/>
          <w:lang w:eastAsia="x-none"/>
        </w:rPr>
        <w:t>Terabases</w:t>
      </w:r>
      <w:proofErr w:type="spellEnd"/>
      <w:r w:rsidRPr="00DB3B47">
        <w:rPr>
          <w:rFonts w:ascii="Arial" w:hAnsi="Arial" w:cs="Arial"/>
          <w:kern w:val="2"/>
          <w:sz w:val="22"/>
          <w:szCs w:val="22"/>
          <w:lang w:eastAsia="x-none"/>
        </w:rPr>
        <w:t xml:space="preserve"> (Tb) and 20 billion reads of sequence data, enabling the sequencing of up to 48 human genomes at 30X coverage in 2 days. In addition to the </w:t>
      </w:r>
      <w:proofErr w:type="spellStart"/>
      <w:r w:rsidRPr="00DB3B47">
        <w:rPr>
          <w:rFonts w:ascii="Arial" w:hAnsi="Arial" w:cs="Arial"/>
          <w:b/>
          <w:i/>
          <w:kern w:val="2"/>
          <w:sz w:val="22"/>
          <w:szCs w:val="22"/>
          <w:lang w:eastAsia="x-none"/>
        </w:rPr>
        <w:t>NovaSeq</w:t>
      </w:r>
      <w:proofErr w:type="spellEnd"/>
      <w:r w:rsidRPr="00DB3B47">
        <w:rPr>
          <w:rFonts w:ascii="Arial" w:hAnsi="Arial" w:cs="Arial"/>
          <w:b/>
          <w:i/>
          <w:kern w:val="2"/>
          <w:sz w:val="22"/>
          <w:szCs w:val="22"/>
          <w:lang w:eastAsia="x-none"/>
        </w:rPr>
        <w:t xml:space="preserve"> 6000</w:t>
      </w:r>
      <w:r w:rsidRPr="00DB3B47">
        <w:rPr>
          <w:rFonts w:ascii="Arial" w:hAnsi="Arial" w:cs="Arial"/>
          <w:kern w:val="2"/>
          <w:sz w:val="22"/>
          <w:szCs w:val="22"/>
          <w:lang w:eastAsia="x-none"/>
        </w:rPr>
        <w:t xml:space="preserve">, the laboratory is equipped with several </w:t>
      </w:r>
      <w:r w:rsidRPr="00DB3B47">
        <w:rPr>
          <w:rFonts w:ascii="Arial" w:hAnsi="Arial" w:cs="Arial"/>
          <w:b/>
          <w:bCs/>
          <w:i/>
          <w:iCs/>
          <w:kern w:val="2"/>
          <w:sz w:val="22"/>
          <w:szCs w:val="22"/>
          <w:lang w:eastAsia="x-none"/>
        </w:rPr>
        <w:t xml:space="preserve">Illumina </w:t>
      </w:r>
      <w:r w:rsidRPr="00DB3B47">
        <w:rPr>
          <w:rFonts w:ascii="Arial" w:hAnsi="Arial" w:cs="Arial"/>
          <w:bCs/>
          <w:iCs/>
          <w:kern w:val="2"/>
          <w:sz w:val="22"/>
          <w:szCs w:val="22"/>
          <w:lang w:eastAsia="x-none"/>
        </w:rPr>
        <w:t>benchtop systems, the</w:t>
      </w:r>
      <w:r w:rsidRPr="00DB3B47">
        <w:rPr>
          <w:rFonts w:ascii="Arial" w:hAnsi="Arial" w:cs="Arial"/>
          <w:b/>
          <w:bCs/>
          <w:i/>
          <w:iCs/>
          <w:kern w:val="2"/>
          <w:sz w:val="22"/>
          <w:szCs w:val="22"/>
          <w:lang w:eastAsia="x-none"/>
        </w:rPr>
        <w:t xml:space="preserve"> Illumina</w:t>
      </w:r>
      <w:r w:rsidRPr="00DB3B47">
        <w:rPr>
          <w:rFonts w:ascii="Arial" w:hAnsi="Arial" w:cs="Arial"/>
          <w:b/>
          <w:bCs/>
          <w:iCs/>
          <w:kern w:val="2"/>
          <w:sz w:val="22"/>
          <w:szCs w:val="22"/>
          <w:lang w:eastAsia="x-none"/>
        </w:rPr>
        <w:t xml:space="preserve"> </w:t>
      </w:r>
      <w:r w:rsidRPr="00DB3B47">
        <w:rPr>
          <w:rFonts w:ascii="Arial" w:hAnsi="Arial" w:cs="Arial"/>
          <w:b/>
          <w:bCs/>
          <w:i/>
          <w:iCs/>
          <w:kern w:val="2"/>
          <w:sz w:val="22"/>
          <w:szCs w:val="22"/>
          <w:lang w:eastAsia="x-none"/>
        </w:rPr>
        <w:t xml:space="preserve">MiSeq </w:t>
      </w:r>
      <w:r w:rsidRPr="00DB3B47">
        <w:rPr>
          <w:rFonts w:ascii="Arial" w:hAnsi="Arial" w:cs="Arial"/>
          <w:bCs/>
          <w:i/>
          <w:iCs/>
          <w:kern w:val="2"/>
          <w:sz w:val="22"/>
          <w:szCs w:val="22"/>
          <w:lang w:eastAsia="x-none"/>
        </w:rPr>
        <w:t>(three instruments)</w:t>
      </w:r>
      <w:r w:rsidRPr="00DB3B47">
        <w:rPr>
          <w:rFonts w:ascii="Arial" w:hAnsi="Arial" w:cs="Arial"/>
          <w:kern w:val="2"/>
          <w:sz w:val="22"/>
          <w:szCs w:val="22"/>
          <w:lang w:eastAsia="x-none"/>
        </w:rPr>
        <w:t xml:space="preserve">, </w:t>
      </w:r>
      <w:proofErr w:type="spellStart"/>
      <w:r w:rsidRPr="00DB3B47">
        <w:rPr>
          <w:rFonts w:ascii="Arial" w:hAnsi="Arial" w:cs="Arial"/>
          <w:b/>
          <w:bCs/>
          <w:i/>
          <w:iCs/>
          <w:kern w:val="2"/>
          <w:sz w:val="22"/>
          <w:szCs w:val="22"/>
          <w:lang w:eastAsia="x-none"/>
        </w:rPr>
        <w:t>MiniSeq</w:t>
      </w:r>
      <w:proofErr w:type="spellEnd"/>
      <w:r w:rsidRPr="00DB3B47">
        <w:rPr>
          <w:rFonts w:ascii="Arial" w:hAnsi="Arial" w:cs="Arial"/>
          <w:b/>
          <w:bCs/>
          <w:i/>
          <w:iCs/>
          <w:kern w:val="2"/>
          <w:sz w:val="22"/>
          <w:szCs w:val="22"/>
          <w:lang w:eastAsia="x-none"/>
        </w:rPr>
        <w:t xml:space="preserve"> </w:t>
      </w:r>
      <w:r w:rsidRPr="00DB3B47">
        <w:rPr>
          <w:rFonts w:ascii="Arial" w:hAnsi="Arial" w:cs="Arial"/>
          <w:bCs/>
          <w:i/>
          <w:iCs/>
          <w:kern w:val="2"/>
          <w:sz w:val="22"/>
          <w:szCs w:val="22"/>
          <w:lang w:eastAsia="x-none"/>
        </w:rPr>
        <w:t>(two instruments),</w:t>
      </w:r>
      <w:r w:rsidRPr="00DB3B47">
        <w:rPr>
          <w:rFonts w:ascii="Arial" w:hAnsi="Arial" w:cs="Arial"/>
          <w:b/>
          <w:bCs/>
          <w:i/>
          <w:iCs/>
          <w:kern w:val="2"/>
          <w:sz w:val="22"/>
          <w:szCs w:val="22"/>
          <w:lang w:eastAsia="x-none"/>
        </w:rPr>
        <w:t xml:space="preserve"> </w:t>
      </w:r>
      <w:r w:rsidRPr="00DB3B47">
        <w:rPr>
          <w:rFonts w:ascii="Arial" w:hAnsi="Arial" w:cs="Arial"/>
          <w:kern w:val="2"/>
          <w:sz w:val="22"/>
          <w:szCs w:val="22"/>
          <w:lang w:eastAsia="x-none"/>
        </w:rPr>
        <w:t>and</w:t>
      </w:r>
      <w:r w:rsidRPr="00DB3B47">
        <w:rPr>
          <w:rFonts w:ascii="Arial" w:hAnsi="Arial" w:cs="Arial"/>
          <w:b/>
          <w:bCs/>
          <w:i/>
          <w:iCs/>
          <w:kern w:val="2"/>
          <w:sz w:val="22"/>
          <w:szCs w:val="22"/>
          <w:lang w:eastAsia="x-none"/>
        </w:rPr>
        <w:t xml:space="preserve"> I-Seq </w:t>
      </w:r>
      <w:r w:rsidRPr="00DB3B47">
        <w:rPr>
          <w:rFonts w:ascii="Arial" w:hAnsi="Arial" w:cs="Arial"/>
          <w:bCs/>
          <w:i/>
          <w:iCs/>
          <w:kern w:val="2"/>
          <w:sz w:val="22"/>
          <w:szCs w:val="22"/>
          <w:lang w:eastAsia="x-none"/>
        </w:rPr>
        <w:t xml:space="preserve">(one instrument). </w:t>
      </w:r>
      <w:r w:rsidRPr="00DB3B47">
        <w:rPr>
          <w:rFonts w:ascii="Arial" w:hAnsi="Arial" w:cs="Arial"/>
          <w:kern w:val="2"/>
          <w:sz w:val="22"/>
          <w:szCs w:val="22"/>
          <w:lang w:eastAsia="x-none"/>
        </w:rPr>
        <w:t>The</w:t>
      </w:r>
      <w:r w:rsidRPr="00DB3B47">
        <w:rPr>
          <w:rFonts w:ascii="Arial" w:hAnsi="Arial" w:cs="Arial"/>
          <w:b/>
          <w:bCs/>
          <w:i/>
          <w:iCs/>
          <w:kern w:val="2"/>
          <w:sz w:val="22"/>
          <w:szCs w:val="22"/>
          <w:lang w:eastAsia="x-none"/>
        </w:rPr>
        <w:t xml:space="preserve"> MiSeq</w:t>
      </w:r>
      <w:r w:rsidRPr="00DB3B47">
        <w:rPr>
          <w:rFonts w:ascii="Arial" w:hAnsi="Arial" w:cs="Arial"/>
          <w:kern w:val="2"/>
          <w:sz w:val="22"/>
          <w:szCs w:val="22"/>
          <w:lang w:eastAsia="x-none"/>
        </w:rPr>
        <w:t xml:space="preserve"> produces up to 15 Gb of, 2 x 300 base, paired-end reads in 3-days while the </w:t>
      </w:r>
      <w:r w:rsidRPr="00DB3B47">
        <w:rPr>
          <w:rFonts w:ascii="Arial" w:hAnsi="Arial" w:cs="Arial"/>
          <w:b/>
          <w:i/>
          <w:kern w:val="2"/>
          <w:sz w:val="22"/>
          <w:szCs w:val="22"/>
          <w:lang w:eastAsia="x-none"/>
        </w:rPr>
        <w:t xml:space="preserve">Illumina I-Seq and </w:t>
      </w:r>
      <w:proofErr w:type="spellStart"/>
      <w:r w:rsidRPr="00DB3B47">
        <w:rPr>
          <w:rFonts w:ascii="Arial" w:hAnsi="Arial" w:cs="Arial"/>
          <w:b/>
          <w:i/>
          <w:kern w:val="2"/>
          <w:sz w:val="22"/>
          <w:szCs w:val="22"/>
          <w:lang w:eastAsia="x-none"/>
        </w:rPr>
        <w:t>MiniSeq</w:t>
      </w:r>
      <w:proofErr w:type="spellEnd"/>
      <w:r w:rsidRPr="00DB3B47">
        <w:rPr>
          <w:rFonts w:ascii="Arial" w:hAnsi="Arial" w:cs="Arial"/>
          <w:kern w:val="2"/>
          <w:sz w:val="22"/>
          <w:szCs w:val="22"/>
          <w:lang w:eastAsia="x-none"/>
        </w:rPr>
        <w:t xml:space="preserve"> instruments rapidly- produce up to 1.2 Gb and 7.5 Gb (2 x 150 base, paired-end reads) in &lt; 2 days run time. These instruments are housed and operated in our CLIA laboratory space. </w:t>
      </w:r>
    </w:p>
    <w:p w14:paraId="64CE12FA"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 xml:space="preserve">Our research investigators use these technologies with </w:t>
      </w:r>
      <w:r w:rsidRPr="00DB3B47">
        <w:rPr>
          <w:rFonts w:ascii="Arial" w:hAnsi="Arial" w:cs="Arial"/>
          <w:bCs/>
          <w:iCs/>
          <w:kern w:val="2"/>
          <w:sz w:val="22"/>
          <w:szCs w:val="22"/>
          <w:lang w:eastAsia="x-none"/>
        </w:rPr>
        <w:t>applications</w:t>
      </w:r>
      <w:r w:rsidRPr="00DB3B47">
        <w:rPr>
          <w:rFonts w:ascii="Arial" w:hAnsi="Arial" w:cs="Arial"/>
          <w:kern w:val="2"/>
          <w:sz w:val="22"/>
          <w:szCs w:val="22"/>
          <w:lang w:eastAsia="x-none"/>
        </w:rPr>
        <w:t xml:space="preserve"> including human whole genome and re-sequencing studies for rare variant discovery and structural variation analysis, target enrichments, and somatic mutation profiling (e.g., comprehensive analysis of tumor and matched genomes). Transcriptome profiling by RNA-Seq provides gene expression profiles and identifies expressed fusion transcripts. These methods are supported by automated sample processing using Agilent Bravo and </w:t>
      </w:r>
      <w:proofErr w:type="spellStart"/>
      <w:r w:rsidRPr="00DB3B47">
        <w:rPr>
          <w:rFonts w:ascii="Arial" w:hAnsi="Arial" w:cs="Arial"/>
          <w:kern w:val="2"/>
          <w:sz w:val="22"/>
          <w:szCs w:val="22"/>
          <w:lang w:eastAsia="x-none"/>
        </w:rPr>
        <w:t>BioMek</w:t>
      </w:r>
      <w:proofErr w:type="spellEnd"/>
      <w:r w:rsidRPr="00DB3B47">
        <w:rPr>
          <w:rFonts w:ascii="Arial" w:hAnsi="Arial" w:cs="Arial"/>
          <w:kern w:val="2"/>
          <w:sz w:val="22"/>
          <w:szCs w:val="22"/>
          <w:lang w:eastAsia="x-none"/>
        </w:rPr>
        <w:t xml:space="preserve"> I7 liquid handling platforms. The GSL supports investigators who perform single-cell RNA-seq and epigenomic library preparations (</w:t>
      </w:r>
      <w:proofErr w:type="spellStart"/>
      <w:r w:rsidRPr="00DB3B47">
        <w:rPr>
          <w:rFonts w:ascii="Arial" w:hAnsi="Arial" w:cs="Arial"/>
          <w:kern w:val="2"/>
          <w:sz w:val="22"/>
          <w:szCs w:val="22"/>
          <w:lang w:eastAsia="x-none"/>
        </w:rPr>
        <w:t>ChIP</w:t>
      </w:r>
      <w:proofErr w:type="spellEnd"/>
      <w:r w:rsidRPr="00DB3B47">
        <w:rPr>
          <w:rFonts w:ascii="Arial" w:hAnsi="Arial" w:cs="Arial"/>
          <w:kern w:val="2"/>
          <w:sz w:val="22"/>
          <w:szCs w:val="22"/>
          <w:lang w:eastAsia="x-none"/>
        </w:rPr>
        <w:t xml:space="preserve">-Seq, ATAC-Seq, 10X genomics). Also, the GSL offers library preparation for small non-coding RNA, and microbial/metagenomic whole genome and RNA-Seq projects. </w:t>
      </w:r>
    </w:p>
    <w:p w14:paraId="50BADEA1"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The GSL provides mentorship and internship opportunities in genomics to undergraduate and graduate students.</w:t>
      </w:r>
    </w:p>
    <w:p w14:paraId="2BFBB037" w14:textId="77777777" w:rsidR="00011F04" w:rsidRPr="00DB3B47" w:rsidRDefault="00011F04" w:rsidP="00DB3B47">
      <w:pPr>
        <w:widowControl w:val="0"/>
        <w:snapToGrid w:val="0"/>
        <w:spacing w:after="120"/>
        <w:jc w:val="both"/>
        <w:rPr>
          <w:rFonts w:ascii="Arial" w:hAnsi="Arial" w:cs="Arial"/>
          <w:b/>
          <w:bCs/>
          <w:kern w:val="2"/>
          <w:sz w:val="22"/>
          <w:szCs w:val="22"/>
          <w:lang w:eastAsia="x-none"/>
        </w:rPr>
      </w:pPr>
      <w:r w:rsidRPr="00DB3B47">
        <w:rPr>
          <w:rFonts w:ascii="Arial" w:hAnsi="Arial" w:cs="Arial"/>
          <w:b/>
          <w:bCs/>
          <w:kern w:val="2"/>
          <w:sz w:val="22"/>
          <w:szCs w:val="22"/>
          <w:lang w:eastAsia="x-none"/>
        </w:rPr>
        <w:lastRenderedPageBreak/>
        <w:t xml:space="preserve">IGM Computational Genomics Group </w:t>
      </w:r>
      <w:r w:rsidRPr="00DB3B47">
        <w:rPr>
          <w:rFonts w:ascii="Arial" w:hAnsi="Arial" w:cs="Arial"/>
          <w:kern w:val="2"/>
          <w:sz w:val="22"/>
          <w:szCs w:val="22"/>
          <w:lang w:eastAsia="x-none"/>
        </w:rPr>
        <w:t xml:space="preserve">comprises a dynamic team of twenty-nine computational biologists, analysts, scientists, and developers with the substantial technical and bioinformatics expertise required to oversee the multiple platforms that acquire, store and analyze large and complex data sets generated by the IGM Genomic Services, Clinical and Technology Development laboratories. Integration of this team within the IGM is critical to its success, ensuring that team members </w:t>
      </w:r>
      <w:proofErr w:type="gramStart"/>
      <w:r w:rsidRPr="00DB3B47">
        <w:rPr>
          <w:rFonts w:ascii="Arial" w:hAnsi="Arial" w:cs="Arial"/>
          <w:kern w:val="2"/>
          <w:sz w:val="22"/>
          <w:szCs w:val="22"/>
          <w:lang w:eastAsia="x-none"/>
        </w:rPr>
        <w:t>are able to</w:t>
      </w:r>
      <w:proofErr w:type="gramEnd"/>
      <w:r w:rsidRPr="00DB3B47">
        <w:rPr>
          <w:rFonts w:ascii="Arial" w:hAnsi="Arial" w:cs="Arial"/>
          <w:kern w:val="2"/>
          <w:sz w:val="22"/>
          <w:szCs w:val="22"/>
          <w:lang w:eastAsia="x-none"/>
        </w:rPr>
        <w:t xml:space="preserve"> learn new methodologies and develop novel analysis approaches in pace with the technological growth that has become a primary driving force for biological discovery. </w:t>
      </w:r>
    </w:p>
    <w:p w14:paraId="71A3ECC5"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 xml:space="preserve">The group provides bioinformatics services on a collaborative basis at subsidized hourly rates and serves as an interface between the research investigator and the multiple domains that are required to handle the size and complexity of genomic data. IGM has built a dedicated cloud-based computational resource through Amazon Web Services (AWS), allowing large HPC or Hadoop clusters to be provisioned on demand. AWS has granted us extensions to our account limits enabling us to launch up to 1,000 simultaneous instances, enabling us to support the analysis of both large- and small-scale sequencing projects. We are uniquely positioned to adapt and develop new computational tools in a manner that is driven by the demands of our research community as it utilizes new technologies. </w:t>
      </w:r>
    </w:p>
    <w:p w14:paraId="38BF23A6"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 xml:space="preserve">The development of analytical pipelines for human exome and genome sequencing analysis, and the identification of disease-causing genetic variants, are key areas of focus for the Computational Genomics Group. The group also evaluates and supports multiple software products for genomics applications that are designed to make data analysis tools accessible to biologists. </w:t>
      </w:r>
    </w:p>
    <w:p w14:paraId="17C7684E"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 xml:space="preserve">Training and education in genomics and bioinformatics are an essential component of our mission. IGM provides internship opportunities in genomics and bioinformatics to undergraduate and graduate students. We also train and mentor our research faculty and junior scientists through one-on-one consultation and software training and relevant workshops. </w:t>
      </w:r>
    </w:p>
    <w:p w14:paraId="57F9395F" w14:textId="77777777" w:rsidR="00011F04" w:rsidRPr="00DB3B47" w:rsidRDefault="00011F04" w:rsidP="00DB3B47">
      <w:pPr>
        <w:widowControl w:val="0"/>
        <w:snapToGrid w:val="0"/>
        <w:spacing w:after="120"/>
        <w:jc w:val="both"/>
        <w:rPr>
          <w:rFonts w:ascii="Arial" w:hAnsi="Arial" w:cs="Arial"/>
          <w:b/>
          <w:bCs/>
          <w:kern w:val="2"/>
          <w:sz w:val="22"/>
          <w:szCs w:val="22"/>
          <w:lang w:eastAsia="x-none"/>
        </w:rPr>
      </w:pPr>
      <w:r w:rsidRPr="00DB3B47">
        <w:rPr>
          <w:rFonts w:ascii="Arial" w:hAnsi="Arial" w:cs="Arial"/>
          <w:b/>
          <w:bCs/>
          <w:kern w:val="2"/>
          <w:sz w:val="22"/>
          <w:szCs w:val="22"/>
          <w:lang w:eastAsia="x-none"/>
        </w:rPr>
        <w:t xml:space="preserve">IGM Technology Development Laboratory </w:t>
      </w:r>
      <w:r w:rsidRPr="00DB3B47">
        <w:rPr>
          <w:rFonts w:ascii="Arial" w:hAnsi="Arial" w:cs="Arial"/>
          <w:kern w:val="2"/>
          <w:sz w:val="22"/>
          <w:szCs w:val="22"/>
          <w:lang w:eastAsia="x-none"/>
        </w:rPr>
        <w:t>team focuses on translational approaches with new sequencing technologies and methodologies and supports the mission to provide high quality genomics as a critical clinical resource. The group is actively researching the integration of short-read (Illumina, 300-500 bp) and long-read (RNA: &gt;500 bp, DNA: &gt;12,000 bp) sequencing for basic and clinical research discovery followed by support for clinical diagnostics. </w:t>
      </w:r>
    </w:p>
    <w:p w14:paraId="0F1AE4D4"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 xml:space="preserve">The Development team works closely with Genomic Services and the Clinical NGS groups focusing on process improvements and protocol standardization within IGM with access to Illumina including </w:t>
      </w:r>
      <w:proofErr w:type="spellStart"/>
      <w:r w:rsidRPr="00DB3B47">
        <w:rPr>
          <w:rFonts w:ascii="Arial" w:hAnsi="Arial" w:cs="Arial"/>
          <w:kern w:val="2"/>
          <w:sz w:val="22"/>
          <w:szCs w:val="22"/>
          <w:lang w:eastAsia="x-none"/>
        </w:rPr>
        <w:t>NovaSeq</w:t>
      </w:r>
      <w:proofErr w:type="spellEnd"/>
      <w:r w:rsidRPr="00DB3B47">
        <w:rPr>
          <w:rFonts w:ascii="Arial" w:hAnsi="Arial" w:cs="Arial"/>
          <w:kern w:val="2"/>
          <w:sz w:val="22"/>
          <w:szCs w:val="22"/>
          <w:lang w:eastAsia="x-none"/>
        </w:rPr>
        <w:t xml:space="preserve"> 6000, HiSeq 4000, MiSeq, </w:t>
      </w:r>
      <w:proofErr w:type="spellStart"/>
      <w:r w:rsidRPr="00DB3B47">
        <w:rPr>
          <w:rFonts w:ascii="Arial" w:hAnsi="Arial" w:cs="Arial"/>
          <w:kern w:val="2"/>
          <w:sz w:val="22"/>
          <w:szCs w:val="22"/>
          <w:lang w:eastAsia="x-none"/>
        </w:rPr>
        <w:t>MiniSeq</w:t>
      </w:r>
      <w:proofErr w:type="spellEnd"/>
      <w:r w:rsidRPr="00DB3B47">
        <w:rPr>
          <w:rFonts w:ascii="Arial" w:hAnsi="Arial" w:cs="Arial"/>
          <w:kern w:val="2"/>
          <w:sz w:val="22"/>
          <w:szCs w:val="22"/>
          <w:lang w:eastAsia="x-none"/>
        </w:rPr>
        <w:t xml:space="preserve">, and </w:t>
      </w:r>
      <w:proofErr w:type="spellStart"/>
      <w:r w:rsidRPr="00DB3B47">
        <w:rPr>
          <w:rFonts w:ascii="Arial" w:hAnsi="Arial" w:cs="Arial"/>
          <w:kern w:val="2"/>
          <w:sz w:val="22"/>
          <w:szCs w:val="22"/>
          <w:lang w:eastAsia="x-none"/>
        </w:rPr>
        <w:t>iSeq</w:t>
      </w:r>
      <w:proofErr w:type="spellEnd"/>
      <w:r w:rsidRPr="00DB3B47">
        <w:rPr>
          <w:rFonts w:ascii="Arial" w:hAnsi="Arial" w:cs="Arial"/>
          <w:kern w:val="2"/>
          <w:sz w:val="22"/>
          <w:szCs w:val="22"/>
          <w:lang w:eastAsia="x-none"/>
        </w:rPr>
        <w:t xml:space="preserve"> 100 instrumentation.</w:t>
      </w:r>
    </w:p>
    <w:p w14:paraId="15C96166"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 xml:space="preserve">To complement research and clinical short-read applications, the Development team currently possess two Pacific Biosciences (Menlo Park, CA) Sequel </w:t>
      </w:r>
      <w:proofErr w:type="spellStart"/>
      <w:r w:rsidRPr="00DB3B47">
        <w:rPr>
          <w:rFonts w:ascii="Arial" w:hAnsi="Arial" w:cs="Arial"/>
          <w:kern w:val="2"/>
          <w:sz w:val="22"/>
          <w:szCs w:val="22"/>
          <w:lang w:eastAsia="x-none"/>
        </w:rPr>
        <w:t>IIe</w:t>
      </w:r>
      <w:proofErr w:type="spellEnd"/>
      <w:r w:rsidRPr="00DB3B47">
        <w:rPr>
          <w:rFonts w:ascii="Arial" w:hAnsi="Arial" w:cs="Arial"/>
          <w:kern w:val="2"/>
          <w:sz w:val="22"/>
          <w:szCs w:val="22"/>
          <w:lang w:eastAsia="x-none"/>
        </w:rPr>
        <w:t xml:space="preserve"> instruments to carry our long-read sequencing efforts. These include large insert (up to 20kb) HiFi libraries and RNA long read Iso-Seq libraries used to resolve complex genomic aberrations as well as identifying fused gene transcripts and expressed gene isoforms.</w:t>
      </w:r>
    </w:p>
    <w:p w14:paraId="69AA4B5C"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 xml:space="preserve">This group is well-versed in automation processes. Programming and workflow processes include NGS library preparations, DNA QC, and DNA extractions. Instrumentation available includes the </w:t>
      </w:r>
      <w:r w:rsidRPr="00DB3B47">
        <w:rPr>
          <w:rFonts w:ascii="Arial" w:hAnsi="Arial" w:cs="Arial"/>
          <w:bCs/>
          <w:kern w:val="2"/>
          <w:sz w:val="22"/>
          <w:szCs w:val="22"/>
          <w:lang w:eastAsia="x-none"/>
        </w:rPr>
        <w:t>Agilent Bravo</w:t>
      </w:r>
      <w:r w:rsidRPr="00DB3B47">
        <w:rPr>
          <w:rFonts w:ascii="Arial" w:hAnsi="Arial" w:cs="Arial"/>
          <w:kern w:val="2"/>
          <w:sz w:val="22"/>
          <w:szCs w:val="22"/>
          <w:lang w:eastAsia="x-none"/>
        </w:rPr>
        <w:t xml:space="preserve">, </w:t>
      </w:r>
      <w:r w:rsidRPr="00DB3B47">
        <w:rPr>
          <w:rFonts w:ascii="Arial" w:hAnsi="Arial" w:cs="Arial"/>
          <w:bCs/>
          <w:kern w:val="2"/>
          <w:sz w:val="22"/>
          <w:szCs w:val="22"/>
          <w:lang w:eastAsia="x-none"/>
        </w:rPr>
        <w:t>Beckman Coulter</w:t>
      </w:r>
      <w:r w:rsidRPr="00DB3B47">
        <w:rPr>
          <w:rFonts w:ascii="Arial" w:hAnsi="Arial" w:cs="Arial"/>
          <w:kern w:val="2"/>
          <w:sz w:val="22"/>
          <w:szCs w:val="22"/>
          <w:lang w:eastAsia="x-none"/>
        </w:rPr>
        <w:t xml:space="preserve"> </w:t>
      </w:r>
      <w:r w:rsidRPr="00DB3B47">
        <w:rPr>
          <w:rFonts w:ascii="Arial" w:hAnsi="Arial" w:cs="Arial"/>
          <w:bCs/>
          <w:kern w:val="2"/>
          <w:sz w:val="22"/>
          <w:szCs w:val="22"/>
          <w:lang w:eastAsia="x-none"/>
        </w:rPr>
        <w:t>Biomek i7</w:t>
      </w:r>
      <w:r w:rsidRPr="00DB3B47">
        <w:rPr>
          <w:rFonts w:ascii="Arial" w:hAnsi="Arial" w:cs="Arial"/>
          <w:kern w:val="2"/>
          <w:sz w:val="22"/>
          <w:szCs w:val="22"/>
          <w:lang w:eastAsia="x-none"/>
        </w:rPr>
        <w:t xml:space="preserve">, and the </w:t>
      </w:r>
      <w:proofErr w:type="spellStart"/>
      <w:r w:rsidRPr="00DB3B47">
        <w:rPr>
          <w:rFonts w:ascii="Arial" w:hAnsi="Arial" w:cs="Arial"/>
          <w:bCs/>
          <w:kern w:val="2"/>
          <w:sz w:val="22"/>
          <w:szCs w:val="22"/>
          <w:lang w:eastAsia="x-none"/>
        </w:rPr>
        <w:t>Chemagic</w:t>
      </w:r>
      <w:proofErr w:type="spellEnd"/>
      <w:r w:rsidRPr="00DB3B47">
        <w:rPr>
          <w:rFonts w:ascii="Arial" w:hAnsi="Arial" w:cs="Arial"/>
          <w:bCs/>
          <w:kern w:val="2"/>
          <w:sz w:val="22"/>
          <w:szCs w:val="22"/>
          <w:lang w:eastAsia="x-none"/>
        </w:rPr>
        <w:t xml:space="preserve"> 360</w:t>
      </w:r>
      <w:r w:rsidRPr="00DB3B47">
        <w:rPr>
          <w:rFonts w:ascii="Arial" w:hAnsi="Arial" w:cs="Arial"/>
          <w:kern w:val="2"/>
          <w:sz w:val="22"/>
          <w:szCs w:val="22"/>
          <w:lang w:eastAsia="x-none"/>
        </w:rPr>
        <w:t xml:space="preserve"> platforms. QC instruments include </w:t>
      </w:r>
      <w:r w:rsidRPr="00DB3B47">
        <w:rPr>
          <w:rFonts w:ascii="Arial" w:hAnsi="Arial" w:cs="Arial"/>
          <w:bCs/>
          <w:kern w:val="2"/>
          <w:sz w:val="22"/>
          <w:szCs w:val="22"/>
          <w:lang w:eastAsia="x-none"/>
        </w:rPr>
        <w:t xml:space="preserve">Agilent Bioanalyzer 2100, Agilent </w:t>
      </w:r>
      <w:proofErr w:type="spellStart"/>
      <w:r w:rsidRPr="00DB3B47">
        <w:rPr>
          <w:rFonts w:ascii="Arial" w:hAnsi="Arial" w:cs="Arial"/>
          <w:bCs/>
          <w:kern w:val="2"/>
          <w:sz w:val="22"/>
          <w:szCs w:val="22"/>
          <w:lang w:eastAsia="x-none"/>
        </w:rPr>
        <w:t>TapeStation</w:t>
      </w:r>
      <w:proofErr w:type="spellEnd"/>
      <w:r w:rsidRPr="00DB3B47">
        <w:rPr>
          <w:rFonts w:ascii="Arial" w:hAnsi="Arial" w:cs="Arial"/>
          <w:bCs/>
          <w:kern w:val="2"/>
          <w:sz w:val="22"/>
          <w:szCs w:val="22"/>
          <w:lang w:eastAsia="x-none"/>
        </w:rPr>
        <w:t xml:space="preserve"> 4200, Perkin Elmer </w:t>
      </w:r>
      <w:proofErr w:type="spellStart"/>
      <w:r w:rsidRPr="00DB3B47">
        <w:rPr>
          <w:rFonts w:ascii="Arial" w:hAnsi="Arial" w:cs="Arial"/>
          <w:bCs/>
          <w:kern w:val="2"/>
          <w:sz w:val="22"/>
          <w:szCs w:val="22"/>
          <w:lang w:eastAsia="x-none"/>
        </w:rPr>
        <w:t>LabChip</w:t>
      </w:r>
      <w:proofErr w:type="spellEnd"/>
      <w:r w:rsidRPr="00DB3B47">
        <w:rPr>
          <w:rFonts w:ascii="Arial" w:hAnsi="Arial" w:cs="Arial"/>
          <w:bCs/>
          <w:kern w:val="2"/>
          <w:sz w:val="22"/>
          <w:szCs w:val="22"/>
          <w:lang w:eastAsia="x-none"/>
        </w:rPr>
        <w:t xml:space="preserve"> GX II Touch HT, Agilent </w:t>
      </w:r>
      <w:proofErr w:type="spellStart"/>
      <w:r w:rsidRPr="00DB3B47">
        <w:rPr>
          <w:rFonts w:ascii="Arial" w:hAnsi="Arial" w:cs="Arial"/>
          <w:bCs/>
          <w:kern w:val="2"/>
          <w:sz w:val="22"/>
          <w:szCs w:val="22"/>
          <w:lang w:eastAsia="x-none"/>
        </w:rPr>
        <w:t>AriaMx</w:t>
      </w:r>
      <w:proofErr w:type="spellEnd"/>
      <w:r w:rsidRPr="00DB3B47">
        <w:rPr>
          <w:rFonts w:ascii="Arial" w:hAnsi="Arial" w:cs="Arial"/>
          <w:bCs/>
          <w:kern w:val="2"/>
          <w:sz w:val="22"/>
          <w:szCs w:val="22"/>
          <w:lang w:eastAsia="x-none"/>
        </w:rPr>
        <w:t xml:space="preserve">, </w:t>
      </w:r>
      <w:proofErr w:type="spellStart"/>
      <w:r w:rsidRPr="00DB3B47">
        <w:rPr>
          <w:rFonts w:ascii="Arial" w:hAnsi="Arial" w:cs="Arial"/>
          <w:bCs/>
          <w:kern w:val="2"/>
          <w:sz w:val="22"/>
          <w:szCs w:val="22"/>
          <w:lang w:eastAsia="x-none"/>
        </w:rPr>
        <w:t>BioRad</w:t>
      </w:r>
      <w:proofErr w:type="spellEnd"/>
      <w:r w:rsidRPr="00DB3B47">
        <w:rPr>
          <w:rFonts w:ascii="Arial" w:hAnsi="Arial" w:cs="Arial"/>
          <w:bCs/>
          <w:kern w:val="2"/>
          <w:sz w:val="22"/>
          <w:szCs w:val="22"/>
          <w:lang w:eastAsia="x-none"/>
        </w:rPr>
        <w:t xml:space="preserve"> CFX96 Touch, Qubit</w:t>
      </w:r>
      <w:r w:rsidRPr="00DB3B47">
        <w:rPr>
          <w:rFonts w:ascii="Arial" w:hAnsi="Arial" w:cs="Arial"/>
          <w:kern w:val="2"/>
          <w:sz w:val="22"/>
          <w:szCs w:val="22"/>
          <w:lang w:eastAsia="x-none"/>
        </w:rPr>
        <w:t xml:space="preserve"> nucleic acid quantification systems (II, III, and FLEX).</w:t>
      </w:r>
    </w:p>
    <w:p w14:paraId="451A094C"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 xml:space="preserve">This group designs and develops translational protocols and participates in clinical validations. This includes the Ohio Prevention and Treatment of Endometrial Cancer (OPTEC) initiative and the creation of the clinically validated Targeted Mismatch Repair Tumor Profiling assay. Ongoing translational projects include pediatric cancer profiling and Archer </w:t>
      </w:r>
      <w:proofErr w:type="spellStart"/>
      <w:r w:rsidRPr="00DB3B47">
        <w:rPr>
          <w:rFonts w:ascii="Arial" w:hAnsi="Arial" w:cs="Arial"/>
          <w:kern w:val="2"/>
          <w:sz w:val="22"/>
          <w:szCs w:val="22"/>
          <w:lang w:eastAsia="x-none"/>
        </w:rPr>
        <w:t>VariantPlex</w:t>
      </w:r>
      <w:proofErr w:type="spellEnd"/>
      <w:r w:rsidRPr="00DB3B47">
        <w:rPr>
          <w:rFonts w:ascii="Arial" w:hAnsi="Arial" w:cs="Arial"/>
          <w:kern w:val="2"/>
          <w:sz w:val="22"/>
          <w:szCs w:val="22"/>
          <w:lang w:eastAsia="x-none"/>
        </w:rPr>
        <w:t xml:space="preserve"> low frequency variant detection. Research projects include non-invasive liquid biopsy testing isolating extracellular vesicles (exosomes), Long read RNA-Seq (Iso-Seq) pipeline optimization to support IGM translational protocols (Cancer profiling, Epilepsy, and Rare Disease). </w:t>
      </w:r>
    </w:p>
    <w:p w14:paraId="12E392A3"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Technology Development provides internship opportunities in genomics and bioinformatics to undergraduate and graduate students. We also train and mentor our research faculty and junior scientists through one-on-one consultation and software training as well as workshops.</w:t>
      </w:r>
    </w:p>
    <w:p w14:paraId="3F7D2B84"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b/>
          <w:bCs/>
          <w:kern w:val="2"/>
          <w:sz w:val="22"/>
          <w:szCs w:val="22"/>
          <w:lang w:eastAsia="x-none"/>
        </w:rPr>
        <w:t xml:space="preserve">IGM Clinical Genomics Laboratory </w:t>
      </w:r>
      <w:r w:rsidRPr="00DB3B47">
        <w:rPr>
          <w:rFonts w:ascii="Arial" w:hAnsi="Arial" w:cs="Arial"/>
          <w:kern w:val="2"/>
          <w:sz w:val="22"/>
          <w:szCs w:val="22"/>
          <w:lang w:eastAsia="x-none"/>
        </w:rPr>
        <w:t xml:space="preserve">at NCH performs high complexity molecular genetic analysis, cytogenetic analysis, and advanced genomic testing. The laboratory is accredited by the College of American Pathologists (CAP #1637201 and #8162772) and holds a CLIA certificate (Clinical Laboratory Improvement Amendments </w:t>
      </w:r>
      <w:r w:rsidRPr="00DB3B47">
        <w:rPr>
          <w:rFonts w:ascii="Arial" w:hAnsi="Arial" w:cs="Arial"/>
          <w:kern w:val="2"/>
          <w:sz w:val="22"/>
          <w:szCs w:val="22"/>
          <w:lang w:eastAsia="x-none"/>
        </w:rPr>
        <w:lastRenderedPageBreak/>
        <w:t>#36D0665271 and #36D2131848). Clinical and technical direction of the laboratory is provided faculty comprising eight Clinical Directors and one Technical Director. The associated laboratory staff is composed of more than 40 technologists and technicians, 10 order entry and quality assurance staff, two laboratory operations managers, six supervisors, four clinical laboratory genetic counselors, five clinical bioinformatics personnel, six variant scientists and analysts, three clinical laboratory fellows, and four clerical support staff. The laboratory is fully equipped with instrumentation and computational resources to perform a variety of molecular, cytogenetic, and advanced genomic analysis. The laboratory includes facilities for sample accessioning, tissue culture, cytogenetic analysis, fluorescence in situ hybridization, nucleic acid extraction, nucleic acid amplification, microarray analysis, methylation analysis, next-generation sequencing, and local freezer storage. </w:t>
      </w:r>
    </w:p>
    <w:p w14:paraId="3FFB388D"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The clinical laboratory is well equipped with cutting-edge instrumentation and automation solutions. It houses multiple Illumina NGS sequencers including three </w:t>
      </w:r>
      <w:proofErr w:type="spellStart"/>
      <w:r w:rsidRPr="00DB3B47">
        <w:rPr>
          <w:rFonts w:ascii="Arial" w:hAnsi="Arial" w:cs="Arial"/>
          <w:bCs/>
          <w:i/>
          <w:iCs/>
          <w:kern w:val="2"/>
          <w:sz w:val="22"/>
          <w:szCs w:val="22"/>
          <w:lang w:eastAsia="x-none"/>
        </w:rPr>
        <w:t>NovaSeq</w:t>
      </w:r>
      <w:proofErr w:type="spellEnd"/>
      <w:r w:rsidRPr="00DB3B47">
        <w:rPr>
          <w:rFonts w:ascii="Arial" w:hAnsi="Arial" w:cs="Arial"/>
          <w:bCs/>
          <w:i/>
          <w:iCs/>
          <w:kern w:val="2"/>
          <w:sz w:val="22"/>
          <w:szCs w:val="22"/>
          <w:lang w:eastAsia="x-none"/>
        </w:rPr>
        <w:t xml:space="preserve"> 6000</w:t>
      </w:r>
      <w:r w:rsidRPr="00DB3B47">
        <w:rPr>
          <w:rFonts w:ascii="Arial" w:hAnsi="Arial" w:cs="Arial"/>
          <w:kern w:val="2"/>
          <w:sz w:val="22"/>
          <w:szCs w:val="22"/>
          <w:lang w:eastAsia="x-none"/>
        </w:rPr>
        <w:t xml:space="preserve"> instruments, three MiSeq instruments, as well as a </w:t>
      </w:r>
      <w:proofErr w:type="spellStart"/>
      <w:r w:rsidRPr="00DB3B47">
        <w:rPr>
          <w:rFonts w:ascii="Arial" w:hAnsi="Arial" w:cs="Arial"/>
          <w:kern w:val="2"/>
          <w:sz w:val="22"/>
          <w:szCs w:val="22"/>
          <w:lang w:eastAsia="x-none"/>
        </w:rPr>
        <w:t>MiniSeq</w:t>
      </w:r>
      <w:proofErr w:type="spellEnd"/>
      <w:r w:rsidRPr="00DB3B47">
        <w:rPr>
          <w:rFonts w:ascii="Arial" w:hAnsi="Arial" w:cs="Arial"/>
          <w:kern w:val="2"/>
          <w:sz w:val="22"/>
          <w:szCs w:val="22"/>
          <w:lang w:eastAsia="x-none"/>
        </w:rPr>
        <w:t>. Automation capabilities include </w:t>
      </w:r>
      <w:r w:rsidRPr="00DB3B47">
        <w:rPr>
          <w:rFonts w:ascii="Arial" w:hAnsi="Arial" w:cs="Arial"/>
          <w:bCs/>
          <w:kern w:val="2"/>
          <w:sz w:val="22"/>
          <w:szCs w:val="22"/>
          <w:lang w:eastAsia="x-none"/>
        </w:rPr>
        <w:t>Agilent Bravo</w:t>
      </w:r>
      <w:r w:rsidRPr="00DB3B47">
        <w:rPr>
          <w:rFonts w:ascii="Arial" w:hAnsi="Arial" w:cs="Arial"/>
          <w:kern w:val="2"/>
          <w:sz w:val="22"/>
          <w:szCs w:val="22"/>
          <w:lang w:eastAsia="x-none"/>
        </w:rPr>
        <w:t xml:space="preserve"> and </w:t>
      </w:r>
      <w:proofErr w:type="spellStart"/>
      <w:r w:rsidRPr="00DB3B47">
        <w:rPr>
          <w:rFonts w:ascii="Arial" w:hAnsi="Arial" w:cs="Arial"/>
          <w:bCs/>
          <w:kern w:val="2"/>
          <w:sz w:val="22"/>
          <w:szCs w:val="22"/>
          <w:lang w:eastAsia="x-none"/>
        </w:rPr>
        <w:t>BioMek</w:t>
      </w:r>
      <w:proofErr w:type="spellEnd"/>
      <w:r w:rsidRPr="00DB3B47">
        <w:rPr>
          <w:rFonts w:ascii="Arial" w:hAnsi="Arial" w:cs="Arial"/>
          <w:bCs/>
          <w:kern w:val="2"/>
          <w:sz w:val="22"/>
          <w:szCs w:val="22"/>
          <w:lang w:eastAsia="x-none"/>
        </w:rPr>
        <w:t xml:space="preserve"> I7</w:t>
      </w:r>
      <w:r w:rsidRPr="00DB3B47">
        <w:rPr>
          <w:rFonts w:ascii="Arial" w:hAnsi="Arial" w:cs="Arial"/>
          <w:kern w:val="2"/>
          <w:sz w:val="22"/>
          <w:szCs w:val="22"/>
          <w:lang w:eastAsia="x-none"/>
        </w:rPr>
        <w:t xml:space="preserve"> liquid handling platforms. Additionally, the laboratory has extensive thermal cycling capability and real-time PCR instrumentation, as well as a variety of array-based platforms (Agilent, Affymetrix, and Illumina) and capillary electrophoresis instrumentation.</w:t>
      </w:r>
    </w:p>
    <w:p w14:paraId="23B54BA5"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The IGM clinical laboratory also serves as the testing reference laboratory for the Acute Lymphoblastic Leukemia and Neuroblastoma Children's Oncology Groups, performing molecular and cytogenetic analyses for Children’s Oncology Group (COG) clinical trial patients.</w:t>
      </w:r>
    </w:p>
    <w:p w14:paraId="7D23CB49"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The IGM clinical laboratory supports an accredited fellowship in Laboratory Genetics and Genomics and is offered jointly by NCH and OSU. Additionally, the laboratory provides internship opportunities in genomics to undergraduate and graduate students.</w:t>
      </w:r>
    </w:p>
    <w:p w14:paraId="613AA142" w14:textId="77777777" w:rsidR="00011F04" w:rsidRPr="00DB3B47" w:rsidRDefault="00011F04" w:rsidP="00651BD0">
      <w:pPr>
        <w:widowControl w:val="0"/>
        <w:numPr>
          <w:ilvl w:val="2"/>
          <w:numId w:val="36"/>
        </w:numPr>
        <w:snapToGrid w:val="0"/>
        <w:spacing w:after="120"/>
        <w:ind w:left="0" w:firstLine="0"/>
        <w:jc w:val="both"/>
        <w:rPr>
          <w:rFonts w:ascii="Arial" w:hAnsi="Arial" w:cs="Arial"/>
          <w:b/>
          <w:bCs/>
          <w:i/>
          <w:kern w:val="2"/>
          <w:sz w:val="22"/>
          <w:szCs w:val="22"/>
          <w:lang w:eastAsia="x-none"/>
        </w:rPr>
      </w:pPr>
      <w:r w:rsidRPr="00DB3B47">
        <w:rPr>
          <w:rFonts w:ascii="Arial" w:hAnsi="Arial" w:cs="Arial"/>
          <w:b/>
          <w:bCs/>
          <w:kern w:val="2"/>
          <w:sz w:val="22"/>
          <w:szCs w:val="22"/>
          <w:lang w:eastAsia="x-none"/>
        </w:rPr>
        <w:t>Analytical Chemistry and Small Molecule Core</w:t>
      </w:r>
    </w:p>
    <w:p w14:paraId="214956FE" w14:textId="77777777" w:rsidR="00011F04" w:rsidRPr="00DB3B47" w:rsidRDefault="00011F04" w:rsidP="00DB3B47">
      <w:pPr>
        <w:widowControl w:val="0"/>
        <w:snapToGrid w:val="0"/>
        <w:spacing w:after="120"/>
        <w:jc w:val="both"/>
        <w:rPr>
          <w:rFonts w:ascii="Arial" w:hAnsi="Arial" w:cs="Arial"/>
          <w:kern w:val="2"/>
          <w:sz w:val="22"/>
          <w:szCs w:val="22"/>
          <w:lang w:val="en" w:eastAsia="x-none"/>
        </w:rPr>
      </w:pPr>
      <w:r w:rsidRPr="00DB3B47">
        <w:rPr>
          <w:rFonts w:ascii="Arial" w:hAnsi="Arial" w:cs="Arial"/>
          <w:kern w:val="2"/>
          <w:sz w:val="22"/>
          <w:szCs w:val="22"/>
          <w:lang w:val="en" w:eastAsia="x-none"/>
        </w:rPr>
        <w:t>The Analytical Chemistry/Small Molecule Core provides analytical chemistry services in support of clinical and basic research. Liquid and gas chromatography with mass spectroscopy capabilities are available for monitoring and quantifying compounds of interest, with a particular focus on small molecules. Services will also be provided for method development and validation of new assays. Available instrumentation includes:</w:t>
      </w:r>
    </w:p>
    <w:p w14:paraId="159B04F9" w14:textId="77777777" w:rsidR="00011F04" w:rsidRPr="00DB3B47" w:rsidRDefault="00011F04" w:rsidP="00651BD0">
      <w:pPr>
        <w:widowControl w:val="0"/>
        <w:numPr>
          <w:ilvl w:val="0"/>
          <w:numId w:val="37"/>
        </w:numPr>
        <w:snapToGrid w:val="0"/>
        <w:spacing w:after="120"/>
        <w:ind w:left="0" w:firstLine="0"/>
        <w:jc w:val="both"/>
        <w:rPr>
          <w:rFonts w:ascii="Arial" w:hAnsi="Arial" w:cs="Arial"/>
          <w:iCs/>
          <w:kern w:val="2"/>
          <w:sz w:val="22"/>
          <w:szCs w:val="22"/>
          <w:lang w:val="en" w:eastAsia="x-none"/>
        </w:rPr>
      </w:pPr>
      <w:r w:rsidRPr="00DB3B47">
        <w:rPr>
          <w:rFonts w:ascii="Arial" w:hAnsi="Arial" w:cs="Arial"/>
          <w:iCs/>
          <w:kern w:val="2"/>
          <w:sz w:val="22"/>
          <w:szCs w:val="22"/>
          <w:lang w:val="en" w:eastAsia="x-none"/>
        </w:rPr>
        <w:t>Liquid Chromatography – Mass Spec/Mass Spec (LC-MS/MS) currently equipped for small molecule analyses such as drugs, drug metabolites, and lipids.</w:t>
      </w:r>
    </w:p>
    <w:p w14:paraId="771A8EDC" w14:textId="77777777" w:rsidR="00011F04" w:rsidRPr="00DB3B47" w:rsidRDefault="00011F04" w:rsidP="00651BD0">
      <w:pPr>
        <w:widowControl w:val="0"/>
        <w:numPr>
          <w:ilvl w:val="0"/>
          <w:numId w:val="37"/>
        </w:numPr>
        <w:snapToGrid w:val="0"/>
        <w:spacing w:after="120"/>
        <w:ind w:left="0" w:firstLine="0"/>
        <w:jc w:val="both"/>
        <w:rPr>
          <w:rFonts w:ascii="Arial" w:hAnsi="Arial" w:cs="Arial"/>
          <w:iCs/>
          <w:kern w:val="2"/>
          <w:sz w:val="22"/>
          <w:szCs w:val="22"/>
          <w:lang w:val="en" w:eastAsia="x-none"/>
        </w:rPr>
      </w:pPr>
      <w:r w:rsidRPr="00DB3B47">
        <w:rPr>
          <w:rFonts w:ascii="Arial" w:hAnsi="Arial" w:cs="Arial"/>
          <w:iCs/>
          <w:kern w:val="2"/>
          <w:sz w:val="22"/>
          <w:szCs w:val="22"/>
          <w:lang w:val="en" w:eastAsia="x-none"/>
        </w:rPr>
        <w:t>Gas Chromatography – Mass Spec (GC-MS) equipped to analyze small molecules not amenable to liquid chromatography separation.</w:t>
      </w:r>
    </w:p>
    <w:p w14:paraId="50E775EC" w14:textId="77777777" w:rsidR="00011F04" w:rsidRPr="00DB3B47" w:rsidRDefault="00011F04" w:rsidP="00651BD0">
      <w:pPr>
        <w:widowControl w:val="0"/>
        <w:numPr>
          <w:ilvl w:val="0"/>
          <w:numId w:val="37"/>
        </w:numPr>
        <w:snapToGrid w:val="0"/>
        <w:spacing w:after="120"/>
        <w:ind w:left="0" w:firstLine="0"/>
        <w:jc w:val="both"/>
        <w:rPr>
          <w:rFonts w:ascii="Arial" w:hAnsi="Arial" w:cs="Arial"/>
          <w:iCs/>
          <w:kern w:val="2"/>
          <w:sz w:val="22"/>
          <w:szCs w:val="22"/>
          <w:lang w:val="en" w:eastAsia="x-none"/>
        </w:rPr>
      </w:pPr>
      <w:r w:rsidRPr="00DB3B47">
        <w:rPr>
          <w:rFonts w:ascii="Arial" w:hAnsi="Arial" w:cs="Arial"/>
          <w:iCs/>
          <w:kern w:val="2"/>
          <w:sz w:val="22"/>
          <w:szCs w:val="22"/>
          <w:lang w:val="en" w:eastAsia="x-none"/>
        </w:rPr>
        <w:t>Gas Chromatography (GC) equipped with a flame ionization detector, currently used for fatty acid analysis or abundant sterols.</w:t>
      </w:r>
    </w:p>
    <w:p w14:paraId="5AA3BD11" w14:textId="77777777" w:rsidR="00011F04" w:rsidRPr="00DB3B47" w:rsidRDefault="00011F04" w:rsidP="00651BD0">
      <w:pPr>
        <w:widowControl w:val="0"/>
        <w:numPr>
          <w:ilvl w:val="0"/>
          <w:numId w:val="37"/>
        </w:numPr>
        <w:snapToGrid w:val="0"/>
        <w:spacing w:after="120"/>
        <w:ind w:left="0" w:firstLine="0"/>
        <w:jc w:val="both"/>
        <w:rPr>
          <w:rFonts w:ascii="Arial" w:hAnsi="Arial" w:cs="Arial"/>
          <w:iCs/>
          <w:kern w:val="2"/>
          <w:sz w:val="22"/>
          <w:szCs w:val="22"/>
          <w:lang w:val="en" w:eastAsia="x-none"/>
        </w:rPr>
      </w:pPr>
      <w:r w:rsidRPr="00DB3B47">
        <w:rPr>
          <w:rFonts w:ascii="Arial" w:hAnsi="Arial" w:cs="Arial"/>
          <w:iCs/>
          <w:kern w:val="2"/>
          <w:sz w:val="22"/>
          <w:szCs w:val="22"/>
          <w:lang w:val="en" w:eastAsia="x-none"/>
        </w:rPr>
        <w:t xml:space="preserve">High Pressure Liquid Chromatography two independent units available with UV/VIS, diode array, and fluorescence detection. </w:t>
      </w:r>
    </w:p>
    <w:p w14:paraId="56992950" w14:textId="77777777" w:rsidR="00011F04" w:rsidRPr="00DB3B47" w:rsidRDefault="00011F04" w:rsidP="00651BD0">
      <w:pPr>
        <w:widowControl w:val="0"/>
        <w:numPr>
          <w:ilvl w:val="0"/>
          <w:numId w:val="37"/>
        </w:numPr>
        <w:snapToGrid w:val="0"/>
        <w:spacing w:after="120"/>
        <w:ind w:left="0" w:firstLine="0"/>
        <w:jc w:val="both"/>
        <w:rPr>
          <w:rFonts w:ascii="Arial" w:hAnsi="Arial" w:cs="Arial"/>
          <w:iCs/>
          <w:kern w:val="2"/>
          <w:sz w:val="22"/>
          <w:szCs w:val="22"/>
          <w:lang w:eastAsia="x-none"/>
        </w:rPr>
      </w:pPr>
      <w:r w:rsidRPr="00DB3B47">
        <w:rPr>
          <w:rFonts w:ascii="Arial" w:hAnsi="Arial" w:cs="Arial"/>
          <w:iCs/>
          <w:kern w:val="2"/>
          <w:sz w:val="22"/>
          <w:szCs w:val="22"/>
          <w:lang w:val="en" w:eastAsia="x-none"/>
        </w:rPr>
        <w:t xml:space="preserve">Multiplex analysis for protein molecules (ELISA based format) using an MSD platform, samples can be analyzed for chemokines, cytokines, and other signaling molecules. </w:t>
      </w:r>
    </w:p>
    <w:p w14:paraId="4CD2D0BB" w14:textId="77777777" w:rsidR="00011F04" w:rsidRPr="00DB3B47" w:rsidRDefault="00011F04" w:rsidP="00651BD0">
      <w:pPr>
        <w:widowControl w:val="0"/>
        <w:numPr>
          <w:ilvl w:val="2"/>
          <w:numId w:val="36"/>
        </w:numPr>
        <w:snapToGrid w:val="0"/>
        <w:spacing w:after="120"/>
        <w:ind w:left="0" w:firstLine="0"/>
        <w:jc w:val="both"/>
        <w:rPr>
          <w:rFonts w:ascii="Arial" w:hAnsi="Arial" w:cs="Arial"/>
          <w:b/>
          <w:bCs/>
          <w:kern w:val="2"/>
          <w:sz w:val="22"/>
          <w:szCs w:val="22"/>
          <w:lang w:eastAsia="x-none"/>
        </w:rPr>
      </w:pPr>
      <w:r w:rsidRPr="00DB3B47">
        <w:rPr>
          <w:rFonts w:ascii="Arial" w:hAnsi="Arial" w:cs="Arial"/>
          <w:b/>
          <w:bCs/>
          <w:kern w:val="2"/>
          <w:sz w:val="22"/>
          <w:szCs w:val="22"/>
          <w:lang w:eastAsia="x-none"/>
        </w:rPr>
        <w:t xml:space="preserve">Animal Resources Core  </w:t>
      </w:r>
    </w:p>
    <w:p w14:paraId="4E9E7AA3"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 xml:space="preserve">The Institute’s animal use program is accredited by the Association for the Assessment and Accreditation of Laboratory Animal Care (AAALAC) International and is registered as a research facility under the Animal Welfare Act (AWA) with the USDA. In addition, there is an assurance on file with the NIH Office of Laboratory Animal Welfare (OLAW). A total of 95,000 gross sq ft of dedicated vivarium space is distributed across three buildings for conducting research on nine animal species. </w:t>
      </w:r>
    </w:p>
    <w:p w14:paraId="30D39DDA"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 xml:space="preserve">The vivarium within the Wexner and Research II buildings are contiguous and provides 55,932 sq ft of space. This includes 7,900 sq ft of conventional animal housing, a 15,450 sq ft transgenic mouse barrier facility, a 4,500 sq ft non-human primate barrier facility, and 3,450 sq ft dedicated housing rodents involved in infectious disease (BL-2) research. All animal rooms within the mouse barrier are equipped with micro-isolator caging on ventilated racks and class II biological safety cabinets. The transgenic mouse barrier also houses a portion of the Institute’s Transgenic Mouse and Embryonic Stem Cell Core, thereby providing contiguous housing for transgenic mice generated within the core. A 1,500 sq ft High Resolution Research Imaging Facility, provides investigators easy access to nine state-of-the-art imaging modalities. Included in the vivarium are 10 general procedure laboratories </w:t>
      </w:r>
      <w:r w:rsidRPr="00DB3B47">
        <w:rPr>
          <w:rFonts w:ascii="Arial" w:hAnsi="Arial" w:cs="Arial"/>
          <w:kern w:val="2"/>
          <w:sz w:val="22"/>
          <w:szCs w:val="22"/>
          <w:lang w:eastAsia="x-none"/>
        </w:rPr>
        <w:lastRenderedPageBreak/>
        <w:t xml:space="preserve">and five surgery suites, a cesium irradiator, four behavioral testing laboratories, a quarantine facility, and an aquatic animal facility capable of housing two species of frogs and zebrafish. Environmental parameters within each animal room are continuously monitored electronically. </w:t>
      </w:r>
    </w:p>
    <w:p w14:paraId="415B777B"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 xml:space="preserve">The Institute’s Research Building </w:t>
      </w:r>
      <w:proofErr w:type="spellStart"/>
      <w:r w:rsidRPr="00DB3B47">
        <w:rPr>
          <w:rFonts w:ascii="Arial" w:hAnsi="Arial" w:cs="Arial"/>
          <w:kern w:val="2"/>
          <w:sz w:val="22"/>
          <w:szCs w:val="22"/>
          <w:lang w:eastAsia="x-none"/>
        </w:rPr>
        <w:t>lll</w:t>
      </w:r>
      <w:proofErr w:type="spellEnd"/>
      <w:r w:rsidRPr="00DB3B47">
        <w:rPr>
          <w:rFonts w:ascii="Arial" w:hAnsi="Arial" w:cs="Arial"/>
          <w:kern w:val="2"/>
          <w:sz w:val="22"/>
          <w:szCs w:val="22"/>
          <w:lang w:eastAsia="x-none"/>
        </w:rPr>
        <w:t xml:space="preserve"> contains a 39,330 sq ft vivarium with twelve ~500 square foot mouse barrier rooms. Each room is equipped with micro-isolator caging on ventilated racks and two class </w:t>
      </w:r>
      <w:proofErr w:type="spellStart"/>
      <w:r w:rsidRPr="00DB3B47">
        <w:rPr>
          <w:rFonts w:ascii="Arial" w:hAnsi="Arial" w:cs="Arial"/>
          <w:kern w:val="2"/>
          <w:sz w:val="22"/>
          <w:szCs w:val="22"/>
          <w:lang w:eastAsia="x-none"/>
        </w:rPr>
        <w:t>ll</w:t>
      </w:r>
      <w:proofErr w:type="spellEnd"/>
      <w:r w:rsidRPr="00DB3B47">
        <w:rPr>
          <w:rFonts w:ascii="Arial" w:hAnsi="Arial" w:cs="Arial"/>
          <w:kern w:val="2"/>
          <w:sz w:val="22"/>
          <w:szCs w:val="22"/>
          <w:lang w:eastAsia="x-none"/>
        </w:rPr>
        <w:t xml:space="preserve"> biological safety cabinets and have their own procedure rooms adjacent to them where small animal surgery may be performed. There are three “conventional” animal holding rooms outside of the barrier with attached procedure rooms. There is also one “flex” room, two quarantine rooms, four infectious disease suites with two isolation rooms for small animals, one large animal operating room where multiple surgeries may be conducted, one large animal hybrid cardiac catheterization laboratory with a fixed arm Toshiba interventional fluoroscopy C-arm,  a small animal imaging suite with two adjacent animal housing rooms, four large animal holding rooms with adjacent procedure rooms, a laundry, and sterile prep and storage areas. There is a </w:t>
      </w:r>
      <w:proofErr w:type="gramStart"/>
      <w:r w:rsidRPr="00DB3B47">
        <w:rPr>
          <w:rFonts w:ascii="Arial" w:hAnsi="Arial" w:cs="Arial"/>
          <w:kern w:val="2"/>
          <w:sz w:val="22"/>
          <w:szCs w:val="22"/>
          <w:lang w:eastAsia="x-none"/>
        </w:rPr>
        <w:t>large shelled</w:t>
      </w:r>
      <w:proofErr w:type="gramEnd"/>
      <w:r w:rsidRPr="00DB3B47">
        <w:rPr>
          <w:rFonts w:ascii="Arial" w:hAnsi="Arial" w:cs="Arial"/>
          <w:kern w:val="2"/>
          <w:sz w:val="22"/>
          <w:szCs w:val="22"/>
          <w:lang w:eastAsia="x-none"/>
        </w:rPr>
        <w:t xml:space="preserve"> room for a future magnetic resonance imaging unit. The building automation system monitors the environmental parameters in the housing rooms.</w:t>
      </w:r>
    </w:p>
    <w:p w14:paraId="3B8035DA"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b/>
          <w:iCs/>
          <w:kern w:val="2"/>
          <w:sz w:val="22"/>
          <w:szCs w:val="22"/>
          <w:lang w:eastAsia="x-none"/>
        </w:rPr>
        <w:t>High Resolution Research Imaging</w:t>
      </w:r>
      <w:r w:rsidRPr="00DB3B47">
        <w:rPr>
          <w:rFonts w:ascii="Arial" w:hAnsi="Arial" w:cs="Arial"/>
          <w:iCs/>
          <w:kern w:val="2"/>
          <w:sz w:val="22"/>
          <w:szCs w:val="22"/>
          <w:lang w:eastAsia="x-none"/>
        </w:rPr>
        <w:t xml:space="preserve"> is</w:t>
      </w:r>
      <w:r w:rsidRPr="00DB3B47">
        <w:rPr>
          <w:rFonts w:ascii="Arial" w:hAnsi="Arial" w:cs="Arial"/>
          <w:b/>
          <w:iCs/>
          <w:kern w:val="2"/>
          <w:sz w:val="22"/>
          <w:szCs w:val="22"/>
          <w:lang w:eastAsia="x-none"/>
        </w:rPr>
        <w:t xml:space="preserve"> </w:t>
      </w:r>
      <w:r w:rsidRPr="00DB3B47">
        <w:rPr>
          <w:rFonts w:ascii="Arial" w:hAnsi="Arial" w:cs="Arial"/>
          <w:iCs/>
          <w:kern w:val="2"/>
          <w:sz w:val="22"/>
          <w:szCs w:val="22"/>
          <w:lang w:eastAsia="x-none"/>
        </w:rPr>
        <w:t>part of the Animal Resource Core and occupies &gt;1,500 sq ft of space divided into five</w:t>
      </w:r>
      <w:r w:rsidRPr="00DB3B47">
        <w:rPr>
          <w:rFonts w:ascii="Arial" w:hAnsi="Arial" w:cs="Arial"/>
          <w:kern w:val="2"/>
          <w:sz w:val="22"/>
          <w:szCs w:val="22"/>
          <w:lang w:eastAsia="x-none"/>
        </w:rPr>
        <w:t xml:space="preserve"> separate rooms with three rooms dedicated for small animal imaging and two rooms available for animal housing. The core is physically located between the barrier and non-barrier facilities in the vivarium providing access to imaging for both barrier and non-barrier animals. There is also a satellite imaging facility housed within the Research III vivarium. The Small Animal Imaging Core houses 10 imaging modalities including: </w:t>
      </w:r>
    </w:p>
    <w:p w14:paraId="409EBCBE" w14:textId="77777777" w:rsidR="00011F04" w:rsidRPr="00DB3B47" w:rsidRDefault="00011F04" w:rsidP="00651BD0">
      <w:pPr>
        <w:widowControl w:val="0"/>
        <w:numPr>
          <w:ilvl w:val="0"/>
          <w:numId w:val="38"/>
        </w:numPr>
        <w:snapToGrid w:val="0"/>
        <w:spacing w:after="120"/>
        <w:ind w:left="0" w:firstLine="0"/>
        <w:jc w:val="both"/>
        <w:rPr>
          <w:rFonts w:ascii="Arial" w:hAnsi="Arial" w:cs="Arial"/>
          <w:kern w:val="2"/>
          <w:sz w:val="22"/>
          <w:szCs w:val="22"/>
          <w:lang w:eastAsia="x-none"/>
        </w:rPr>
      </w:pPr>
      <w:r w:rsidRPr="00DB3B47">
        <w:rPr>
          <w:rFonts w:ascii="Arial" w:hAnsi="Arial" w:cs="Arial"/>
          <w:kern w:val="2"/>
          <w:sz w:val="22"/>
          <w:szCs w:val="22"/>
          <w:lang w:eastAsia="x-none"/>
        </w:rPr>
        <w:t xml:space="preserve">GE OEC 9800 and 9900 C-arm—These units are clinically designed for a wide range of applications. Dose delivery is low to ensure the right image at the right dose. Each unit has a SmartView off-axis pivotal joint to allow for precise positioning along with multiple imaging modes for optimal image quality. Ideal usages vary from orthopedic to peripheral vascular studies. </w:t>
      </w:r>
    </w:p>
    <w:p w14:paraId="24BBA8FB" w14:textId="77777777" w:rsidR="00011F04" w:rsidRPr="00DB3B47" w:rsidRDefault="00011F04" w:rsidP="00651BD0">
      <w:pPr>
        <w:widowControl w:val="0"/>
        <w:numPr>
          <w:ilvl w:val="0"/>
          <w:numId w:val="38"/>
        </w:numPr>
        <w:snapToGrid w:val="0"/>
        <w:spacing w:after="120"/>
        <w:ind w:left="0" w:firstLine="0"/>
        <w:jc w:val="both"/>
        <w:rPr>
          <w:rFonts w:ascii="Arial" w:hAnsi="Arial" w:cs="Arial"/>
          <w:kern w:val="2"/>
          <w:sz w:val="22"/>
          <w:szCs w:val="22"/>
          <w:lang w:eastAsia="x-none"/>
        </w:rPr>
      </w:pPr>
      <w:r w:rsidRPr="00DB3B47">
        <w:rPr>
          <w:rFonts w:ascii="Arial" w:hAnsi="Arial" w:cs="Arial"/>
          <w:kern w:val="2"/>
          <w:sz w:val="22"/>
          <w:szCs w:val="22"/>
          <w:lang w:eastAsia="x-none"/>
        </w:rPr>
        <w:t xml:space="preserve">GE </w:t>
      </w:r>
      <w:proofErr w:type="spellStart"/>
      <w:r w:rsidRPr="00DB3B47">
        <w:rPr>
          <w:rFonts w:ascii="Arial" w:hAnsi="Arial" w:cs="Arial"/>
          <w:kern w:val="2"/>
          <w:sz w:val="22"/>
          <w:szCs w:val="22"/>
          <w:lang w:eastAsia="x-none"/>
        </w:rPr>
        <w:t>eXplore</w:t>
      </w:r>
      <w:proofErr w:type="spellEnd"/>
      <w:r w:rsidRPr="00DB3B47">
        <w:rPr>
          <w:rFonts w:ascii="Arial" w:hAnsi="Arial" w:cs="Arial"/>
          <w:kern w:val="2"/>
          <w:sz w:val="22"/>
          <w:szCs w:val="22"/>
          <w:lang w:eastAsia="x-none"/>
        </w:rPr>
        <w:t xml:space="preserve"> Locus Computed Tomography (</w:t>
      </w:r>
      <w:proofErr w:type="spellStart"/>
      <w:r w:rsidRPr="00DB3B47">
        <w:rPr>
          <w:rFonts w:ascii="Arial" w:hAnsi="Arial" w:cs="Arial"/>
          <w:kern w:val="2"/>
          <w:sz w:val="22"/>
          <w:szCs w:val="22"/>
          <w:lang w:eastAsia="x-none"/>
        </w:rPr>
        <w:t>microCT</w:t>
      </w:r>
      <w:proofErr w:type="spellEnd"/>
      <w:r w:rsidRPr="00DB3B47">
        <w:rPr>
          <w:rFonts w:ascii="Arial" w:hAnsi="Arial" w:cs="Arial"/>
          <w:kern w:val="2"/>
          <w:sz w:val="22"/>
          <w:szCs w:val="22"/>
          <w:lang w:eastAsia="x-none"/>
        </w:rPr>
        <w:t xml:space="preserve">) – This system provides high-resolution contrast noise-to-image quality and accurate 2D and 3D rendering with minimal x-ray dosage. There are three isotropic resolution settings (27, 45 and 95 µm) with a field of view up to 80mm in diameter. The GE </w:t>
      </w:r>
      <w:proofErr w:type="spellStart"/>
      <w:r w:rsidRPr="00DB3B47">
        <w:rPr>
          <w:rFonts w:ascii="Arial" w:hAnsi="Arial" w:cs="Arial"/>
          <w:kern w:val="2"/>
          <w:sz w:val="22"/>
          <w:szCs w:val="22"/>
          <w:lang w:eastAsia="x-none"/>
        </w:rPr>
        <w:t>MicroView</w:t>
      </w:r>
      <w:proofErr w:type="spellEnd"/>
      <w:r w:rsidRPr="00DB3B47">
        <w:rPr>
          <w:rFonts w:ascii="Arial" w:hAnsi="Arial" w:cs="Arial"/>
          <w:kern w:val="2"/>
          <w:sz w:val="22"/>
          <w:szCs w:val="22"/>
          <w:lang w:eastAsia="x-none"/>
        </w:rPr>
        <w:t xml:space="preserve"> software allows 3D reconstruction. Ideal usages of the </w:t>
      </w:r>
      <w:proofErr w:type="spellStart"/>
      <w:r w:rsidRPr="00DB3B47">
        <w:rPr>
          <w:rFonts w:ascii="Arial" w:hAnsi="Arial" w:cs="Arial"/>
          <w:kern w:val="2"/>
          <w:sz w:val="22"/>
          <w:szCs w:val="22"/>
          <w:lang w:eastAsia="x-none"/>
        </w:rPr>
        <w:t>microCT</w:t>
      </w:r>
      <w:proofErr w:type="spellEnd"/>
      <w:r w:rsidRPr="00DB3B47">
        <w:rPr>
          <w:rFonts w:ascii="Arial" w:hAnsi="Arial" w:cs="Arial"/>
          <w:kern w:val="2"/>
          <w:sz w:val="22"/>
          <w:szCs w:val="22"/>
          <w:lang w:eastAsia="x-none"/>
        </w:rPr>
        <w:t xml:space="preserve"> include structural anatomy, bone studies, fat studies, and soft tissue studies with the appropriate contrast reagents. </w:t>
      </w:r>
    </w:p>
    <w:p w14:paraId="4E4E647F" w14:textId="77777777" w:rsidR="00011F04" w:rsidRPr="00DB3B47" w:rsidRDefault="00011F04" w:rsidP="00651BD0">
      <w:pPr>
        <w:widowControl w:val="0"/>
        <w:numPr>
          <w:ilvl w:val="0"/>
          <w:numId w:val="38"/>
        </w:numPr>
        <w:snapToGrid w:val="0"/>
        <w:spacing w:after="120"/>
        <w:ind w:left="0" w:firstLine="0"/>
        <w:jc w:val="both"/>
        <w:rPr>
          <w:rFonts w:ascii="Arial" w:hAnsi="Arial" w:cs="Arial"/>
          <w:kern w:val="2"/>
          <w:sz w:val="22"/>
          <w:szCs w:val="22"/>
          <w:lang w:eastAsia="x-none"/>
        </w:rPr>
      </w:pPr>
      <w:proofErr w:type="spellStart"/>
      <w:r w:rsidRPr="00DB3B47">
        <w:rPr>
          <w:rFonts w:ascii="Arial" w:hAnsi="Arial" w:cs="Arial"/>
          <w:kern w:val="2"/>
          <w:sz w:val="22"/>
          <w:szCs w:val="22"/>
          <w:lang w:eastAsia="x-none"/>
        </w:rPr>
        <w:t>VisualSonics</w:t>
      </w:r>
      <w:proofErr w:type="spellEnd"/>
      <w:r w:rsidRPr="00DB3B47">
        <w:rPr>
          <w:rFonts w:ascii="Arial" w:hAnsi="Arial" w:cs="Arial"/>
          <w:kern w:val="2"/>
          <w:sz w:val="22"/>
          <w:szCs w:val="22"/>
          <w:lang w:eastAsia="x-none"/>
        </w:rPr>
        <w:t xml:space="preserve"> Vevo2100 Ultrasound (2 units) – A non-invasive ultrasound unit that possesses multiple transducer heads ideal for visualization of most anatomic structures in small to medium sized rodents. It can produce resolutions down to 30microns. The M-Mode capture and analysis software enables the characterization of vessel, heart dynamic and wall thickening. Tissue Doppler imaging (TDI) is used for assessing diastolic dysfunction and myocardial strain. Pulsed Wave Doppler enables assessment of quantitative blood flow velocity and waveform measurements. Color Doppler allows the visualization and quantification of neovascularization around tumors/organs. This system is ideal for anatomic assessment, functional cardiology applications and vascular development during tumor growth.</w:t>
      </w:r>
    </w:p>
    <w:p w14:paraId="307248A2" w14:textId="77777777" w:rsidR="00011F04" w:rsidRPr="00DB3B47" w:rsidRDefault="00011F04" w:rsidP="00651BD0">
      <w:pPr>
        <w:widowControl w:val="0"/>
        <w:numPr>
          <w:ilvl w:val="0"/>
          <w:numId w:val="38"/>
        </w:numPr>
        <w:snapToGrid w:val="0"/>
        <w:spacing w:after="120"/>
        <w:ind w:left="0" w:firstLine="0"/>
        <w:jc w:val="both"/>
        <w:rPr>
          <w:rFonts w:ascii="Arial" w:hAnsi="Arial" w:cs="Arial"/>
          <w:kern w:val="2"/>
          <w:sz w:val="22"/>
          <w:szCs w:val="22"/>
          <w:lang w:eastAsia="x-none"/>
        </w:rPr>
      </w:pPr>
      <w:r w:rsidRPr="00DB3B47">
        <w:rPr>
          <w:rFonts w:ascii="Arial" w:hAnsi="Arial" w:cs="Arial"/>
          <w:kern w:val="2"/>
          <w:sz w:val="22"/>
          <w:szCs w:val="22"/>
          <w:lang w:val="es-MX" w:eastAsia="x-none"/>
        </w:rPr>
        <w:t xml:space="preserve">Faxitron MX-20 Digital X-Ray – </w:t>
      </w:r>
      <w:r w:rsidRPr="00DB3B47">
        <w:rPr>
          <w:rFonts w:ascii="Arial" w:hAnsi="Arial" w:cs="Arial"/>
          <w:kern w:val="2"/>
          <w:sz w:val="22"/>
          <w:szCs w:val="22"/>
          <w:lang w:eastAsia="x-none"/>
        </w:rPr>
        <w:t xml:space="preserve">Provides high-resolution digital imaging, it can go up to 5x additional geometric magnification providing </w:t>
      </w:r>
      <w:proofErr w:type="spellStart"/>
      <w:r w:rsidRPr="00DB3B47">
        <w:rPr>
          <w:rFonts w:ascii="Arial" w:hAnsi="Arial" w:cs="Arial"/>
          <w:kern w:val="2"/>
          <w:sz w:val="22"/>
          <w:szCs w:val="22"/>
          <w:lang w:eastAsia="x-none"/>
        </w:rPr>
        <w:t>ultra high</w:t>
      </w:r>
      <w:proofErr w:type="spellEnd"/>
      <w:r w:rsidRPr="00DB3B47">
        <w:rPr>
          <w:rFonts w:ascii="Arial" w:hAnsi="Arial" w:cs="Arial"/>
          <w:kern w:val="2"/>
          <w:sz w:val="22"/>
          <w:szCs w:val="22"/>
          <w:lang w:eastAsia="x-none"/>
        </w:rPr>
        <w:t>-contrast and high spatial resolution images. It provides 2D digital images of resolutions down to 20 microns, across a specimen imaging field of 12cm x 12cm. Ideal use for static 2D-images of skeletal structure and integrity.</w:t>
      </w:r>
    </w:p>
    <w:p w14:paraId="2B59494B" w14:textId="77777777" w:rsidR="00011F04" w:rsidRPr="00DB3B47" w:rsidRDefault="00011F04" w:rsidP="00651BD0">
      <w:pPr>
        <w:widowControl w:val="0"/>
        <w:numPr>
          <w:ilvl w:val="0"/>
          <w:numId w:val="38"/>
        </w:numPr>
        <w:snapToGrid w:val="0"/>
        <w:spacing w:after="120"/>
        <w:ind w:left="0" w:firstLine="0"/>
        <w:jc w:val="both"/>
        <w:rPr>
          <w:rFonts w:ascii="Arial" w:hAnsi="Arial" w:cs="Arial"/>
          <w:kern w:val="2"/>
          <w:sz w:val="22"/>
          <w:szCs w:val="22"/>
          <w:lang w:eastAsia="x-none"/>
        </w:rPr>
      </w:pPr>
      <w:proofErr w:type="spellStart"/>
      <w:r w:rsidRPr="00DB3B47">
        <w:rPr>
          <w:rFonts w:ascii="Arial" w:hAnsi="Arial" w:cs="Arial"/>
          <w:kern w:val="2"/>
          <w:sz w:val="22"/>
          <w:szCs w:val="22"/>
          <w:lang w:eastAsia="x-none"/>
        </w:rPr>
        <w:t>Lightools</w:t>
      </w:r>
      <w:proofErr w:type="spellEnd"/>
      <w:r w:rsidRPr="00DB3B47">
        <w:rPr>
          <w:rFonts w:ascii="Arial" w:hAnsi="Arial" w:cs="Arial"/>
          <w:kern w:val="2"/>
          <w:sz w:val="22"/>
          <w:szCs w:val="22"/>
          <w:lang w:eastAsia="x-none"/>
        </w:rPr>
        <w:t xml:space="preserve"> 3D Pan-A-See System – Permits simultaneous optical imaging of two fluorophores from three sides and includes filters for blue, green, yellow, red and far-red imaging. Useful for imaging the incorporation of two separate chemical or protein products in a single image permitting 3D-multicolor biofluorescence imaging in small animals and for following tumor growth and development in mouse models. </w:t>
      </w:r>
    </w:p>
    <w:p w14:paraId="1B5D7EF1" w14:textId="77777777" w:rsidR="00011F04" w:rsidRPr="00DB3B47" w:rsidRDefault="00011F04" w:rsidP="00651BD0">
      <w:pPr>
        <w:widowControl w:val="0"/>
        <w:numPr>
          <w:ilvl w:val="0"/>
          <w:numId w:val="38"/>
        </w:numPr>
        <w:snapToGrid w:val="0"/>
        <w:spacing w:after="120"/>
        <w:ind w:left="0" w:firstLine="0"/>
        <w:jc w:val="both"/>
        <w:rPr>
          <w:rFonts w:ascii="Arial" w:hAnsi="Arial" w:cs="Arial"/>
          <w:kern w:val="2"/>
          <w:sz w:val="22"/>
          <w:szCs w:val="22"/>
          <w:lang w:eastAsia="x-none"/>
        </w:rPr>
      </w:pPr>
      <w:r w:rsidRPr="00DB3B47">
        <w:rPr>
          <w:rFonts w:ascii="Arial" w:hAnsi="Arial" w:cs="Arial"/>
          <w:kern w:val="2"/>
          <w:sz w:val="22"/>
          <w:szCs w:val="22"/>
          <w:lang w:eastAsia="x-none"/>
        </w:rPr>
        <w:t>Leica Fluorescence Dissecting Microscope—Dissecting microscopy that permits optical imaging of a single fluorophore. There are four filter set positions for blue, green, yellow, and red imaging. The image will show a three-dimensional view of the specimen/animal at a relatively low magnification. Ideally used for noninvasive/specimen molecular imaging.</w:t>
      </w:r>
    </w:p>
    <w:p w14:paraId="6CDB9BF8" w14:textId="77777777" w:rsidR="00011F04" w:rsidRPr="00DB3B47" w:rsidRDefault="00011F04" w:rsidP="00651BD0">
      <w:pPr>
        <w:widowControl w:val="0"/>
        <w:numPr>
          <w:ilvl w:val="0"/>
          <w:numId w:val="38"/>
        </w:numPr>
        <w:snapToGrid w:val="0"/>
        <w:spacing w:after="120"/>
        <w:ind w:left="0" w:firstLine="0"/>
        <w:jc w:val="both"/>
        <w:rPr>
          <w:rFonts w:ascii="Arial" w:hAnsi="Arial" w:cs="Arial"/>
          <w:kern w:val="2"/>
          <w:sz w:val="22"/>
          <w:szCs w:val="22"/>
          <w:lang w:eastAsia="x-none"/>
        </w:rPr>
      </w:pPr>
      <w:proofErr w:type="spellStart"/>
      <w:r w:rsidRPr="00DB3B47">
        <w:rPr>
          <w:rFonts w:ascii="Arial" w:hAnsi="Arial" w:cs="Arial"/>
          <w:kern w:val="2"/>
          <w:sz w:val="22"/>
          <w:szCs w:val="22"/>
          <w:lang w:eastAsia="x-none"/>
        </w:rPr>
        <w:t>Xenogen</w:t>
      </w:r>
      <w:proofErr w:type="spellEnd"/>
      <w:r w:rsidRPr="00DB3B47">
        <w:rPr>
          <w:rFonts w:ascii="Arial" w:hAnsi="Arial" w:cs="Arial"/>
          <w:kern w:val="2"/>
          <w:sz w:val="22"/>
          <w:szCs w:val="22"/>
          <w:lang w:eastAsia="x-none"/>
        </w:rPr>
        <w:t xml:space="preserve"> IVIS Spectrum – Performs bioluminescence, reflectance fluorescence, and transmission fluorescence in 2D and 3D imaging and covers nearly the entire visible electromagnetic spectrum, ideal for noninvasive quantitative molecular imaging.</w:t>
      </w:r>
    </w:p>
    <w:p w14:paraId="3FFB70AE" w14:textId="77777777" w:rsidR="00011F04" w:rsidRPr="00DB3B47" w:rsidRDefault="00011F04" w:rsidP="00651BD0">
      <w:pPr>
        <w:widowControl w:val="0"/>
        <w:numPr>
          <w:ilvl w:val="0"/>
          <w:numId w:val="38"/>
        </w:numPr>
        <w:snapToGrid w:val="0"/>
        <w:spacing w:after="120"/>
        <w:ind w:left="0" w:firstLine="0"/>
        <w:jc w:val="both"/>
        <w:rPr>
          <w:rFonts w:ascii="Arial" w:hAnsi="Arial" w:cs="Arial"/>
          <w:kern w:val="2"/>
          <w:sz w:val="22"/>
          <w:szCs w:val="22"/>
          <w:lang w:eastAsia="x-none"/>
        </w:rPr>
      </w:pPr>
      <w:proofErr w:type="spellStart"/>
      <w:r w:rsidRPr="00DB3B47">
        <w:rPr>
          <w:rFonts w:ascii="Arial" w:hAnsi="Arial" w:cs="Arial"/>
          <w:kern w:val="2"/>
          <w:sz w:val="22"/>
          <w:szCs w:val="22"/>
          <w:lang w:eastAsia="x-none"/>
        </w:rPr>
        <w:lastRenderedPageBreak/>
        <w:t>Labscope</w:t>
      </w:r>
      <w:proofErr w:type="spellEnd"/>
      <w:r w:rsidRPr="00DB3B47">
        <w:rPr>
          <w:rFonts w:ascii="Arial" w:hAnsi="Arial" w:cs="Arial"/>
          <w:kern w:val="2"/>
          <w:sz w:val="22"/>
          <w:szCs w:val="22"/>
          <w:lang w:eastAsia="x-none"/>
        </w:rPr>
        <w:t xml:space="preserve"> Magnification </w:t>
      </w:r>
      <w:proofErr w:type="spellStart"/>
      <w:r w:rsidRPr="00DB3B47">
        <w:rPr>
          <w:rFonts w:ascii="Arial" w:hAnsi="Arial" w:cs="Arial"/>
          <w:kern w:val="2"/>
          <w:sz w:val="22"/>
          <w:szCs w:val="22"/>
          <w:lang w:eastAsia="x-none"/>
        </w:rPr>
        <w:t>microFluoroscopy</w:t>
      </w:r>
      <w:proofErr w:type="spellEnd"/>
      <w:r w:rsidRPr="00DB3B47">
        <w:rPr>
          <w:rFonts w:ascii="Arial" w:hAnsi="Arial" w:cs="Arial"/>
          <w:kern w:val="2"/>
          <w:sz w:val="22"/>
          <w:szCs w:val="22"/>
          <w:lang w:eastAsia="x-none"/>
        </w:rPr>
        <w:t xml:space="preserve">—This unit is a high performance microfocus magnifying fluoroscopic system. It utilizes a 10 micron focal spot x-ray source that allows for magnifications as high as 25x as viewed on the monitor. It combines image processing capabilities into one single operation and provides great use for orthopedic research. </w:t>
      </w:r>
    </w:p>
    <w:p w14:paraId="2C1E9928" w14:textId="77777777" w:rsidR="00011F04" w:rsidRPr="00DB3B47" w:rsidRDefault="00011F04" w:rsidP="00651BD0">
      <w:pPr>
        <w:widowControl w:val="0"/>
        <w:numPr>
          <w:ilvl w:val="0"/>
          <w:numId w:val="38"/>
        </w:numPr>
        <w:snapToGrid w:val="0"/>
        <w:spacing w:after="120"/>
        <w:ind w:left="0" w:firstLine="0"/>
        <w:jc w:val="both"/>
        <w:rPr>
          <w:rFonts w:ascii="Arial" w:hAnsi="Arial" w:cs="Arial"/>
          <w:kern w:val="2"/>
          <w:sz w:val="22"/>
          <w:szCs w:val="22"/>
          <w:lang w:eastAsia="x-none"/>
        </w:rPr>
      </w:pPr>
      <w:r w:rsidRPr="00DB3B47">
        <w:rPr>
          <w:rFonts w:ascii="Arial" w:hAnsi="Arial" w:cs="Arial"/>
          <w:kern w:val="2"/>
          <w:sz w:val="22"/>
          <w:szCs w:val="22"/>
          <w:lang w:eastAsia="x-none"/>
        </w:rPr>
        <w:t>X-RAD 320 X-ray irradiator – 320kVp orthovoltage energy self-contained unit capable of delivering precision radiation doses to biological specimens and small laboratory animals.</w:t>
      </w:r>
    </w:p>
    <w:p w14:paraId="2CE6541F" w14:textId="77777777" w:rsidR="00011F04" w:rsidRPr="00DB3B47" w:rsidRDefault="00011F04" w:rsidP="00651BD0">
      <w:pPr>
        <w:widowControl w:val="0"/>
        <w:numPr>
          <w:ilvl w:val="2"/>
          <w:numId w:val="36"/>
        </w:numPr>
        <w:snapToGrid w:val="0"/>
        <w:spacing w:after="120"/>
        <w:ind w:left="0" w:firstLine="0"/>
        <w:jc w:val="both"/>
        <w:rPr>
          <w:rFonts w:ascii="Arial" w:hAnsi="Arial" w:cs="Arial"/>
          <w:kern w:val="2"/>
          <w:sz w:val="22"/>
          <w:szCs w:val="22"/>
          <w:lang w:eastAsia="x-none"/>
        </w:rPr>
      </w:pPr>
      <w:r w:rsidRPr="00DB3B47">
        <w:rPr>
          <w:rFonts w:ascii="Arial" w:hAnsi="Arial" w:cs="Arial"/>
          <w:b/>
          <w:bCs/>
          <w:kern w:val="2"/>
          <w:sz w:val="22"/>
          <w:szCs w:val="22"/>
          <w:lang w:eastAsia="x-none"/>
        </w:rPr>
        <w:t>The Animal Tumor Core</w:t>
      </w:r>
      <w:r w:rsidRPr="00DB3B47">
        <w:rPr>
          <w:rFonts w:ascii="Arial" w:hAnsi="Arial" w:cs="Arial"/>
          <w:kern w:val="2"/>
          <w:sz w:val="22"/>
          <w:szCs w:val="22"/>
          <w:lang w:eastAsia="x-none"/>
        </w:rPr>
        <w:t xml:space="preserve"> </w:t>
      </w:r>
    </w:p>
    <w:p w14:paraId="1B35F2C5" w14:textId="2921422C"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The Animal Tumor Core  at NCH supports the research of investigators within the Center for Childhood Cancer through a two-fold mission focused on (1) developing new animal models of rare human diseases and (2) providing technical support for individual investigators. Arising from the core of the NIH-funded Pediatric Preclinical Testing Program (PPTP) that was housed at NCH from 2009-2014, the research team staffing the Tumor Core boasts a wealth of more than 45 years of experience in animal handling, husbandry, experimental therapeutics, blinded drug handling, survival surgery, and patient-derived xenograft (PDX) development, maintenance, and utilization. Over the past 6 years, the PDX development program has made more than 150 validated models of both common and rare pediatric malignancies available to investigators, many with companion cell cultures. Investigators can access numerous other models through consortium arrangements made with pediatric research centers across the country. Center investigators can leverage these material and human resources for the purposes of experimental design consultation, for procedural training of their own research staff, and for execution of animal research experimental plans through either fee-for-service or collaborative arrangements.</w:t>
      </w:r>
    </w:p>
    <w:p w14:paraId="7DF7021F" w14:textId="77777777" w:rsidR="00011F04" w:rsidRPr="00DB3B47" w:rsidRDefault="00011F04" w:rsidP="00651BD0">
      <w:pPr>
        <w:widowControl w:val="0"/>
        <w:numPr>
          <w:ilvl w:val="2"/>
          <w:numId w:val="36"/>
        </w:numPr>
        <w:snapToGrid w:val="0"/>
        <w:spacing w:after="120"/>
        <w:ind w:left="0" w:firstLine="0"/>
        <w:jc w:val="both"/>
        <w:rPr>
          <w:rFonts w:ascii="Arial" w:hAnsi="Arial" w:cs="Arial"/>
          <w:b/>
          <w:bCs/>
          <w:kern w:val="2"/>
          <w:sz w:val="22"/>
          <w:szCs w:val="22"/>
          <w:lang w:eastAsia="x-none"/>
        </w:rPr>
      </w:pPr>
      <w:r w:rsidRPr="00DB3B47">
        <w:rPr>
          <w:rFonts w:ascii="Arial" w:hAnsi="Arial" w:cs="Arial"/>
          <w:b/>
          <w:bCs/>
          <w:iCs/>
          <w:kern w:val="2"/>
          <w:sz w:val="22"/>
          <w:szCs w:val="22"/>
          <w:lang w:eastAsia="x-none"/>
        </w:rPr>
        <w:t>Biobehavioral Outcomes Core</w:t>
      </w:r>
    </w:p>
    <w:p w14:paraId="08194EFC"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iCs/>
          <w:kern w:val="2"/>
          <w:sz w:val="22"/>
          <w:szCs w:val="22"/>
          <w:lang w:eastAsia="x-none"/>
        </w:rPr>
        <w:t xml:space="preserve">The Biobehavioral Outcomes Core </w:t>
      </w:r>
      <w:proofErr w:type="gramStart"/>
      <w:r w:rsidRPr="00DB3B47">
        <w:rPr>
          <w:rFonts w:ascii="Arial" w:hAnsi="Arial" w:cs="Arial"/>
          <w:iCs/>
          <w:kern w:val="2"/>
          <w:sz w:val="22"/>
          <w:szCs w:val="22"/>
          <w:lang w:eastAsia="x-none"/>
        </w:rPr>
        <w:t>provides assistance to</w:t>
      </w:r>
      <w:proofErr w:type="gramEnd"/>
      <w:r w:rsidRPr="00DB3B47">
        <w:rPr>
          <w:rFonts w:ascii="Arial" w:hAnsi="Arial" w:cs="Arial"/>
          <w:iCs/>
          <w:kern w:val="2"/>
          <w:sz w:val="22"/>
          <w:szCs w:val="22"/>
          <w:lang w:eastAsia="x-none"/>
        </w:rPr>
        <w:t xml:space="preserve"> investigators seeking to incorporate behavioral measures and methods into their research. Services include consultation in design of research that involves assessment of behavioral, cognitive, emotional, or social outcomes and processes; selection of appropriate measurement techniques and instruments; assistance in preparing outcomes sections of grant applications; execution of data collection protocols (e.g., standardized tests, qualitative interviews, focus groups), data scoring, consultation on data entry, management, and analysis for behavioral, cognitive, emotional, and social outcome data; and assistance in the preparation of manuscripts describing these data. The Core’s directors are a licensed clinical psychologist (Dr. Vannatta) and a board-certified pediatric neuropsychologist (Dr. McNally) who cumulatively have over 30 years of experience working in pediatric care and clinical research settings. The Biobehavioral Outcomes Core also employs a team of psychometricians, trained, and closely supervised by the directors, who conduct developmental, neuropsychological, and behavioral assessments for study infants, children, adolescents, and adults with wide ranging medical, developmental, and psychiatric diagnoses. Training of this team is completed under the supervision of the core directors and routinely involves direct instruction, practice, and supervised implementation to achieve proficiency with ongoing monitoring for quality assurance. Detailed procedural plans are developed for each study using core services to meet the needs for scheduling participants, conducting assessments, and post-processing data in a manner that maintains protocol integrity and meets the unique needs studies for varying levels of flexibility, oversight, and collaboration. Needs and associated fees are negotiated prior to work completion.</w:t>
      </w:r>
    </w:p>
    <w:p w14:paraId="4DF7C66E" w14:textId="77777777" w:rsidR="00011F04" w:rsidRPr="00DB3B47" w:rsidRDefault="00011F04" w:rsidP="00651BD0">
      <w:pPr>
        <w:widowControl w:val="0"/>
        <w:numPr>
          <w:ilvl w:val="2"/>
          <w:numId w:val="36"/>
        </w:numPr>
        <w:snapToGrid w:val="0"/>
        <w:spacing w:after="120"/>
        <w:ind w:left="0" w:firstLine="0"/>
        <w:jc w:val="both"/>
        <w:rPr>
          <w:rFonts w:ascii="Arial" w:hAnsi="Arial" w:cs="Arial"/>
          <w:kern w:val="2"/>
          <w:sz w:val="22"/>
          <w:szCs w:val="22"/>
          <w:lang w:eastAsia="x-none"/>
        </w:rPr>
      </w:pPr>
      <w:r w:rsidRPr="00DB3B47">
        <w:rPr>
          <w:rFonts w:ascii="Arial" w:hAnsi="Arial" w:cs="Arial"/>
          <w:b/>
          <w:kern w:val="2"/>
          <w:sz w:val="22"/>
          <w:szCs w:val="22"/>
          <w:lang w:eastAsia="x-none"/>
        </w:rPr>
        <w:t xml:space="preserve">Research Regulatory Affairs </w:t>
      </w:r>
    </w:p>
    <w:p w14:paraId="35843C3C"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 xml:space="preserve">The Office of Research Regulatory Affairs (ORRA) helps move discoveries at the lab bench into clinical testing to develop novel approaches to prevent and treat pediatric disease. The Food and Drug Administration (FDA) regulatory review process for clinical trials is complex. The Office of Research Regulatory Affairs (ORRA) guides investigators through the regulatory landscape and provides a streamlined and uniform approach to translating pre-clinical studies into human clinical trials. ORRA works side-by-side with Clinical Research Services to assist with clinical design and regulatory submissions and with the Office of Research Compliance and Integrity to ensure compliance with all institutional, state, and federal laws and regulations. ORRA offers consultation with investigators to discuss specific pre-clinical development plans, focusing on tasks needed to efficiently move the drug or device to the clinic according to FDA guidelines and provides insight into associated costs and complications that may arise during the process. ORRA also offers consultation on the scientific information required to support an Investigational New Drug or Device application to the FDA. This includes characterization of the product, animal models of safety or efficacy, or toxicology. In addition, consultation is provided on the content of the IND application and FDA interactions in general. This support currently includes review and </w:t>
      </w:r>
      <w:r w:rsidRPr="00DB3B47">
        <w:rPr>
          <w:rFonts w:ascii="Arial" w:hAnsi="Arial" w:cs="Arial"/>
          <w:kern w:val="2"/>
          <w:sz w:val="22"/>
          <w:szCs w:val="22"/>
          <w:lang w:eastAsia="x-none"/>
        </w:rPr>
        <w:lastRenderedPageBreak/>
        <w:t>document creation for INTERACT, pre-IND and IND applications, annual reporting, and end-of-study phase interactions with the FDA.</w:t>
      </w:r>
    </w:p>
    <w:p w14:paraId="2D078E35" w14:textId="77777777" w:rsidR="00011F04" w:rsidRPr="00DB3B47" w:rsidRDefault="00011F04" w:rsidP="00651BD0">
      <w:pPr>
        <w:widowControl w:val="0"/>
        <w:numPr>
          <w:ilvl w:val="2"/>
          <w:numId w:val="36"/>
        </w:numPr>
        <w:snapToGrid w:val="0"/>
        <w:spacing w:after="120"/>
        <w:ind w:left="0" w:firstLine="0"/>
        <w:jc w:val="both"/>
        <w:rPr>
          <w:rFonts w:ascii="Arial" w:hAnsi="Arial" w:cs="Arial"/>
          <w:b/>
          <w:kern w:val="2"/>
          <w:sz w:val="22"/>
          <w:szCs w:val="22"/>
          <w:lang w:eastAsia="x-none"/>
        </w:rPr>
      </w:pPr>
      <w:r w:rsidRPr="00DB3B47">
        <w:rPr>
          <w:rFonts w:ascii="Arial" w:hAnsi="Arial" w:cs="Arial"/>
          <w:b/>
          <w:kern w:val="2"/>
          <w:sz w:val="22"/>
          <w:szCs w:val="22"/>
          <w:lang w:eastAsia="x-none"/>
        </w:rPr>
        <w:t>IT Infrastructure and Operation</w:t>
      </w:r>
    </w:p>
    <w:p w14:paraId="15E75AE0"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NCH Information Services (IS)</w:t>
      </w:r>
      <w:r w:rsidRPr="00DB3B47">
        <w:rPr>
          <w:rFonts w:ascii="Arial" w:hAnsi="Arial" w:cs="Arial"/>
          <w:b/>
          <w:iCs/>
          <w:kern w:val="2"/>
          <w:sz w:val="22"/>
          <w:szCs w:val="22"/>
          <w:lang w:eastAsia="x-none"/>
        </w:rPr>
        <w:t> </w:t>
      </w:r>
      <w:r w:rsidRPr="00DB3B47">
        <w:rPr>
          <w:rFonts w:ascii="Arial" w:hAnsi="Arial" w:cs="Arial"/>
          <w:kern w:val="2"/>
          <w:sz w:val="22"/>
          <w:szCs w:val="22"/>
          <w:lang w:eastAsia="x-none"/>
        </w:rPr>
        <w:t xml:space="preserve">provides backbone IT infrastructure and IT operations for the entire NCH’s organization including the Research Institute. They include high availability, high-speed, and secure network infrastructure, multi-tiered high-performance storage, desktop/laptop and server services, enterprise clinical and operational system and application support, communication, and collaboration platform support, and many other essential and mission critical services. </w:t>
      </w:r>
    </w:p>
    <w:p w14:paraId="6796121F"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b/>
          <w:iCs/>
          <w:kern w:val="2"/>
          <w:sz w:val="22"/>
          <w:szCs w:val="22"/>
          <w:lang w:eastAsia="x-none"/>
        </w:rPr>
        <w:t>The NCH’s Data Center</w:t>
      </w:r>
      <w:r w:rsidRPr="00DB3B47">
        <w:rPr>
          <w:rFonts w:ascii="Arial" w:hAnsi="Arial" w:cs="Arial"/>
          <w:kern w:val="2"/>
          <w:sz w:val="22"/>
          <w:szCs w:val="22"/>
          <w:lang w:eastAsia="x-none"/>
        </w:rPr>
        <w:t xml:space="preserve"> is designed as a Tier III facility (&gt;99.98% availability) but operates as a Tier IV facility (almost 100% availability) to fully support the clinical and research mission with robust physical access controls and authorization requirements. The Nationwide Children’s data center houses high availability servers running mission critical applications such as the clinical system Epic and other clinical applications. Hospital IS currently maintains over 300 servers and supports multiple Relational Database Management Systems, including SQL Server, Oracle, PostgreSQL, and MYSQL etc. There are 5 dedicated database administrators overseeing database systems running on 62 servers. Two large computing clusters, Hadoop cluster and High-Performance Computing cluster, are also located in the data center. </w:t>
      </w:r>
    </w:p>
    <w:p w14:paraId="03422BCC" w14:textId="77777777" w:rsidR="00011F04" w:rsidRPr="00DB3B47" w:rsidRDefault="00011F04" w:rsidP="00DB3B47">
      <w:pPr>
        <w:widowControl w:val="0"/>
        <w:snapToGrid w:val="0"/>
        <w:spacing w:after="120"/>
        <w:jc w:val="both"/>
        <w:rPr>
          <w:rFonts w:ascii="Arial" w:hAnsi="Arial" w:cs="Arial"/>
          <w:iCs/>
          <w:kern w:val="2"/>
          <w:sz w:val="22"/>
          <w:szCs w:val="22"/>
          <w:lang w:eastAsia="x-none"/>
        </w:rPr>
      </w:pPr>
      <w:r w:rsidRPr="00DB3B47">
        <w:rPr>
          <w:rFonts w:ascii="Arial" w:hAnsi="Arial" w:cs="Arial"/>
          <w:b/>
          <w:iCs/>
          <w:kern w:val="2"/>
          <w:sz w:val="22"/>
          <w:szCs w:val="22"/>
          <w:lang w:eastAsia="x-none"/>
        </w:rPr>
        <w:t>Information Security, Privacy and Compliance</w:t>
      </w:r>
      <w:r w:rsidRPr="00DB3B47">
        <w:rPr>
          <w:rFonts w:ascii="Arial" w:hAnsi="Arial" w:cs="Arial"/>
          <w:iCs/>
          <w:kern w:val="2"/>
          <w:sz w:val="22"/>
          <w:szCs w:val="22"/>
          <w:lang w:eastAsia="x-none"/>
        </w:rPr>
        <w:t xml:space="preserve"> </w:t>
      </w:r>
    </w:p>
    <w:p w14:paraId="1C96E03E" w14:textId="77777777" w:rsidR="00011F04" w:rsidRPr="00DB3B47" w:rsidRDefault="00011F04" w:rsidP="00DB3B47">
      <w:pPr>
        <w:widowControl w:val="0"/>
        <w:tabs>
          <w:tab w:val="left" w:pos="450"/>
        </w:tabs>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Maintaining confidentiality, integrity and availability of information is a key element of managing ePHI (electronic Protected Health Information). There is a dedicated security team that establishes cyber security best practice and monitors security violations. They provide recommendation and oversight on risk management and compliance to various regulations such as HIPAA and FISMA. An information security and privacy governance group composed of senior executives oversees a full-time team of seven certified information security professionals. This group is accountable for establishing and maintaining a framework to ensure that information security strategies and capabilities are aligned with applicable laws, regulations, and business objectives. NCH’s protects information using reasonable and appropriate information security and privacy controls. Authentication and access control safeguards are implemented considering the risk profile of the information, the sensitivity of the information, and the access vectors of the information. Access to NCH’s information assets is granted only with appropriate authorization, and successful identification and authentication are required. NCH’s information security operations management capabilities include monitoring, backup and storage, network security, and vulnerability management processes which facilitate the identification and remediation system flaws. Additionally, information security and privacy practices are incorporated into Nationwide Children’s service management capabilities that include problem and incident management, asset management, change and release management, system development lifecycle management, and software acquisition management. The Research Institute at NCH’s has demonstrated its commitment to and capabilities in information security and privacy through its participation in The Cancer Genome Atlas project, a federally funded multi-year project which requires FISMA compliance. Our experience, in conjunction with a corporate culture committed to serving those who have entrusted NCH with their most private and personal information, has uniquely positioned our team to effectively address information security, privacy, and compliance concerns.</w:t>
      </w:r>
    </w:p>
    <w:p w14:paraId="632567AA" w14:textId="77777777" w:rsidR="00011F04" w:rsidRPr="00DB3B47" w:rsidRDefault="00011F04" w:rsidP="00DB3B47">
      <w:pPr>
        <w:widowControl w:val="0"/>
        <w:snapToGrid w:val="0"/>
        <w:spacing w:after="120"/>
        <w:jc w:val="both"/>
        <w:rPr>
          <w:rFonts w:ascii="Arial" w:hAnsi="Arial" w:cs="Arial"/>
          <w:b/>
          <w:i/>
          <w:kern w:val="2"/>
          <w:sz w:val="22"/>
          <w:szCs w:val="22"/>
          <w:lang w:eastAsia="x-none"/>
        </w:rPr>
      </w:pPr>
      <w:r w:rsidRPr="00DB3B47">
        <w:rPr>
          <w:rFonts w:ascii="Arial" w:hAnsi="Arial" w:cs="Arial"/>
          <w:b/>
          <w:iCs/>
          <w:kern w:val="2"/>
          <w:sz w:val="22"/>
          <w:szCs w:val="22"/>
          <w:lang w:eastAsia="x-none"/>
        </w:rPr>
        <w:t>Institutional High Performance Computing Facility</w:t>
      </w:r>
      <w:r w:rsidRPr="00DB3B47">
        <w:rPr>
          <w:rFonts w:ascii="Arial" w:hAnsi="Arial" w:cs="Arial"/>
          <w:b/>
          <w:i/>
          <w:kern w:val="2"/>
          <w:sz w:val="22"/>
          <w:szCs w:val="22"/>
          <w:lang w:eastAsia="x-none"/>
        </w:rPr>
        <w:t xml:space="preserve"> </w:t>
      </w:r>
      <w:r w:rsidRPr="00DB3B47">
        <w:rPr>
          <w:rFonts w:ascii="Arial" w:hAnsi="Arial" w:cs="Arial"/>
          <w:bCs/>
          <w:i/>
          <w:kern w:val="2"/>
          <w:sz w:val="22"/>
          <w:szCs w:val="22"/>
          <w:lang w:eastAsia="x-none"/>
        </w:rPr>
        <w:t>(HPC; Dr. Veronica J. Vieland)</w:t>
      </w:r>
    </w:p>
    <w:p w14:paraId="2D06DDFE"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b/>
          <w:kern w:val="2"/>
          <w:sz w:val="22"/>
          <w:szCs w:val="22"/>
          <w:lang w:eastAsia="x-none"/>
        </w:rPr>
        <w:t xml:space="preserve"> </w:t>
      </w:r>
      <w:r w:rsidRPr="00DB3B47">
        <w:rPr>
          <w:rFonts w:ascii="Arial" w:hAnsi="Arial" w:cs="Arial"/>
          <w:kern w:val="2"/>
          <w:sz w:val="22"/>
          <w:szCs w:val="22"/>
          <w:lang w:eastAsia="x-none"/>
        </w:rPr>
        <w:t xml:space="preserve">HPC comprises 42 general purpose nodes each with 20 Haswell cores and 128GB of RAM, five general purpose nodes each with 24 Skylake cores and 96GB of RAM, four general purpose nodes each with 20 Skylake cores and 192GB of RAM, four large memory nodes each with 48 Ivy Bridge cores and 1.5 TB of RAM, and two redundant login nodes each with 12 Haswell cores and 64GB of RAM. Additionally, six of the general-purpose nodes are equipped with GPU or many-integrated-core (MIC) coprocessors, for a total of two </w:t>
      </w:r>
      <w:proofErr w:type="spellStart"/>
      <w:r w:rsidRPr="00DB3B47">
        <w:rPr>
          <w:rFonts w:ascii="Arial" w:hAnsi="Arial" w:cs="Arial"/>
          <w:kern w:val="2"/>
          <w:sz w:val="22"/>
          <w:szCs w:val="22"/>
          <w:lang w:eastAsia="x-none"/>
        </w:rPr>
        <w:t>nVidia</w:t>
      </w:r>
      <w:proofErr w:type="spellEnd"/>
      <w:r w:rsidRPr="00DB3B47">
        <w:rPr>
          <w:rFonts w:ascii="Arial" w:hAnsi="Arial" w:cs="Arial"/>
          <w:kern w:val="2"/>
          <w:sz w:val="22"/>
          <w:szCs w:val="22"/>
          <w:lang w:eastAsia="x-none"/>
        </w:rPr>
        <w:t xml:space="preserve"> Telsa K40 GPUs, eight </w:t>
      </w:r>
      <w:proofErr w:type="spellStart"/>
      <w:r w:rsidRPr="00DB3B47">
        <w:rPr>
          <w:rFonts w:ascii="Arial" w:hAnsi="Arial" w:cs="Arial"/>
          <w:kern w:val="2"/>
          <w:sz w:val="22"/>
          <w:szCs w:val="22"/>
          <w:lang w:eastAsia="x-none"/>
        </w:rPr>
        <w:t>nVidia</w:t>
      </w:r>
      <w:proofErr w:type="spellEnd"/>
      <w:r w:rsidRPr="00DB3B47">
        <w:rPr>
          <w:rFonts w:ascii="Arial" w:hAnsi="Arial" w:cs="Arial"/>
          <w:kern w:val="2"/>
          <w:sz w:val="22"/>
          <w:szCs w:val="22"/>
          <w:lang w:eastAsia="x-none"/>
        </w:rPr>
        <w:t xml:space="preserve"> Telsa P100 GPUs and one Xeon Phi coprocessor. This gives the cluster 1256 cores and 12.6TB of aggregate memory, and a total theoretical performance of 78.2 TFLOPs. User directories and high-speed scratch space are provided on a 428TB fault-tolerant GPFS file system, running on the cluster’s 56Gb/s </w:t>
      </w:r>
      <w:proofErr w:type="spellStart"/>
      <w:r w:rsidRPr="00DB3B47">
        <w:rPr>
          <w:rFonts w:ascii="Arial" w:hAnsi="Arial" w:cs="Arial"/>
          <w:kern w:val="2"/>
          <w:sz w:val="22"/>
          <w:szCs w:val="22"/>
          <w:lang w:eastAsia="x-none"/>
        </w:rPr>
        <w:t>Infiniband</w:t>
      </w:r>
      <w:proofErr w:type="spellEnd"/>
      <w:r w:rsidRPr="00DB3B47">
        <w:rPr>
          <w:rFonts w:ascii="Arial" w:hAnsi="Arial" w:cs="Arial"/>
          <w:kern w:val="2"/>
          <w:sz w:val="22"/>
          <w:szCs w:val="22"/>
          <w:lang w:eastAsia="x-none"/>
        </w:rPr>
        <w:t xml:space="preserve"> fabric. In addition to the hardware, the facility is staffed by 2.5 HPC specialists, who provide user support ranging from software installation to pipeline design and implementation, along with training for HPC users at all levels of proficiency. </w:t>
      </w:r>
    </w:p>
    <w:p w14:paraId="7B7F2F10" w14:textId="77777777" w:rsidR="00011F04" w:rsidRPr="00DB3B47" w:rsidRDefault="00011F04" w:rsidP="00651BD0">
      <w:pPr>
        <w:widowControl w:val="0"/>
        <w:numPr>
          <w:ilvl w:val="1"/>
          <w:numId w:val="36"/>
        </w:numPr>
        <w:snapToGrid w:val="0"/>
        <w:spacing w:after="120"/>
        <w:ind w:left="0" w:firstLine="0"/>
        <w:jc w:val="both"/>
        <w:rPr>
          <w:rFonts w:ascii="Arial" w:hAnsi="Arial" w:cs="Arial"/>
          <w:b/>
          <w:kern w:val="2"/>
          <w:sz w:val="22"/>
          <w:szCs w:val="22"/>
          <w:lang w:eastAsia="x-none"/>
        </w:rPr>
      </w:pPr>
      <w:r w:rsidRPr="00DB3B47">
        <w:rPr>
          <w:rFonts w:ascii="Arial" w:hAnsi="Arial" w:cs="Arial"/>
          <w:b/>
          <w:kern w:val="2"/>
          <w:sz w:val="22"/>
          <w:szCs w:val="22"/>
          <w:lang w:eastAsia="x-none"/>
        </w:rPr>
        <w:t>NCH Shared Resources/Core Facilities</w:t>
      </w:r>
    </w:p>
    <w:p w14:paraId="593D7830"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 xml:space="preserve">Shared resources/Core Facilities are centralized facilities and services subsidized by AWRI to provide significant </w:t>
      </w:r>
      <w:r w:rsidRPr="00DB3B47">
        <w:rPr>
          <w:rFonts w:ascii="Arial" w:hAnsi="Arial" w:cs="Arial"/>
          <w:kern w:val="2"/>
          <w:sz w:val="22"/>
          <w:szCs w:val="22"/>
          <w:lang w:eastAsia="x-none"/>
        </w:rPr>
        <w:lastRenderedPageBreak/>
        <w:t>cost savings to researchers. Details of research cores relevant to the present proposal are included below.</w:t>
      </w:r>
    </w:p>
    <w:p w14:paraId="6A65F837" w14:textId="77777777" w:rsidR="00011F04" w:rsidRPr="00DB3B47" w:rsidRDefault="00011F04" w:rsidP="00651BD0">
      <w:pPr>
        <w:widowControl w:val="0"/>
        <w:numPr>
          <w:ilvl w:val="2"/>
          <w:numId w:val="36"/>
        </w:numPr>
        <w:snapToGrid w:val="0"/>
        <w:spacing w:after="120"/>
        <w:ind w:left="0" w:firstLine="0"/>
        <w:jc w:val="both"/>
        <w:rPr>
          <w:rFonts w:ascii="Arial" w:hAnsi="Arial" w:cs="Arial"/>
          <w:b/>
          <w:iCs/>
          <w:kern w:val="2"/>
          <w:sz w:val="22"/>
          <w:szCs w:val="22"/>
          <w:lang w:eastAsia="x-none"/>
        </w:rPr>
      </w:pPr>
      <w:r w:rsidRPr="00DB3B47">
        <w:rPr>
          <w:rFonts w:ascii="Arial" w:hAnsi="Arial" w:cs="Arial"/>
          <w:b/>
          <w:iCs/>
          <w:kern w:val="2"/>
          <w:sz w:val="22"/>
          <w:szCs w:val="22"/>
          <w:lang w:eastAsia="x-none"/>
        </w:rPr>
        <w:t xml:space="preserve">Biopathology Center Core </w:t>
      </w:r>
      <w:r w:rsidRPr="00DB3B47">
        <w:rPr>
          <w:rFonts w:ascii="Arial" w:hAnsi="Arial" w:cs="Arial"/>
          <w:bCs/>
          <w:iCs/>
          <w:kern w:val="2"/>
          <w:sz w:val="22"/>
          <w:szCs w:val="22"/>
          <w:lang w:eastAsia="x-none"/>
        </w:rPr>
        <w:t>(Dr.</w:t>
      </w:r>
      <w:r w:rsidRPr="00DB3B47">
        <w:rPr>
          <w:rFonts w:ascii="Arial" w:hAnsi="Arial" w:cs="Arial"/>
          <w:b/>
          <w:iCs/>
          <w:kern w:val="2"/>
          <w:sz w:val="22"/>
          <w:szCs w:val="22"/>
          <w:lang w:eastAsia="x-none"/>
        </w:rPr>
        <w:t xml:space="preserve"> </w:t>
      </w:r>
      <w:r w:rsidRPr="00DB3B47">
        <w:rPr>
          <w:rFonts w:ascii="Arial" w:hAnsi="Arial" w:cs="Arial"/>
          <w:bCs/>
          <w:iCs/>
          <w:kern w:val="2"/>
          <w:sz w:val="22"/>
          <w:szCs w:val="22"/>
          <w:lang w:eastAsia="x-none"/>
        </w:rPr>
        <w:t>Nilsa Ramirez)</w:t>
      </w:r>
      <w:r w:rsidRPr="00DB3B47">
        <w:rPr>
          <w:rFonts w:ascii="Arial" w:hAnsi="Arial" w:cs="Arial"/>
          <w:b/>
          <w:iCs/>
          <w:kern w:val="2"/>
          <w:sz w:val="22"/>
          <w:szCs w:val="22"/>
          <w:lang w:eastAsia="x-none"/>
        </w:rPr>
        <w:t xml:space="preserve"> </w:t>
      </w:r>
      <w:r w:rsidRPr="00DB3B47">
        <w:rPr>
          <w:rFonts w:ascii="Arial" w:hAnsi="Arial" w:cs="Arial"/>
          <w:kern w:val="2"/>
          <w:sz w:val="22"/>
          <w:szCs w:val="22"/>
          <w:lang w:eastAsia="x-none"/>
        </w:rPr>
        <w:t xml:space="preserve">(BPC) Core provides biobanking services for projects sponsored by institutional PIs. The BPC is equipped with the expertise and infrastructure provided through the BPC’s work with several funded biorepository-based efforts including the Children’s Oncology Group, NRG Oncology, SWOG, the Cooperative Human Tissue Network, and Early Phase and Experimental Clinical Trials. The BPC Core provides a variety of services including biospecimen accessioning, processing, nucleic acid extraction and quality control, banking, distribution, and virtual microscopy. </w:t>
      </w:r>
    </w:p>
    <w:p w14:paraId="64F04672"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 xml:space="preserve">In addition, researchers are encouraged to include the BPC Core in the planning stages of their project as staff can assist with creating a budget, reviewing feasibility, and lending their biobanking proficiency to ensure quality outcomes. The BPC Core is equipped to handle a wide variety of biospecimen types and maintain the flexibility needed to accommodate the unique needs of each project. </w:t>
      </w:r>
    </w:p>
    <w:p w14:paraId="70CB75E7" w14:textId="1997E122"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The nucleic acid processing laboratory supports the nucleic acid extraction and quality control for the BPC Core and is accredited by the College of American Pathologists (CAP) Laboratory Accreditation Program and certified by CLIA for clinical testing. Other areas of the BPC Core are CAP accredited under their Biorepository Accreditation Program.</w:t>
      </w:r>
    </w:p>
    <w:p w14:paraId="48770DBD" w14:textId="77777777" w:rsidR="00011F04" w:rsidRPr="00DB3B47" w:rsidRDefault="00011F04" w:rsidP="00651BD0">
      <w:pPr>
        <w:widowControl w:val="0"/>
        <w:numPr>
          <w:ilvl w:val="2"/>
          <w:numId w:val="36"/>
        </w:numPr>
        <w:snapToGrid w:val="0"/>
        <w:spacing w:after="120"/>
        <w:ind w:left="0" w:firstLine="0"/>
        <w:jc w:val="both"/>
        <w:rPr>
          <w:rFonts w:ascii="Arial" w:hAnsi="Arial" w:cs="Arial"/>
          <w:b/>
          <w:iCs/>
          <w:kern w:val="2"/>
          <w:sz w:val="22"/>
          <w:szCs w:val="22"/>
          <w:lang w:eastAsia="x-none"/>
        </w:rPr>
      </w:pPr>
      <w:r w:rsidRPr="00DB3B47">
        <w:rPr>
          <w:rFonts w:ascii="Arial" w:hAnsi="Arial" w:cs="Arial"/>
          <w:b/>
          <w:iCs/>
          <w:kern w:val="2"/>
          <w:sz w:val="22"/>
          <w:szCs w:val="22"/>
          <w:lang w:eastAsia="x-none"/>
        </w:rPr>
        <w:t xml:space="preserve">Cell Based Therapies </w:t>
      </w:r>
      <w:r w:rsidRPr="00DB3B47">
        <w:rPr>
          <w:rFonts w:ascii="Arial" w:hAnsi="Arial" w:cs="Arial"/>
          <w:bCs/>
          <w:iCs/>
          <w:kern w:val="2"/>
          <w:sz w:val="22"/>
          <w:szCs w:val="22"/>
          <w:lang w:eastAsia="x-none"/>
        </w:rPr>
        <w:t>(Interim: Dr.</w:t>
      </w:r>
      <w:r w:rsidRPr="00DB3B47">
        <w:rPr>
          <w:rFonts w:ascii="Arial" w:hAnsi="Arial" w:cs="Arial"/>
          <w:b/>
          <w:iCs/>
          <w:kern w:val="2"/>
          <w:sz w:val="22"/>
          <w:szCs w:val="22"/>
          <w:lang w:eastAsia="x-none"/>
        </w:rPr>
        <w:t xml:space="preserve"> </w:t>
      </w:r>
      <w:r w:rsidRPr="00DB3B47">
        <w:rPr>
          <w:rFonts w:ascii="Arial" w:hAnsi="Arial" w:cs="Arial"/>
          <w:bCs/>
          <w:iCs/>
          <w:kern w:val="2"/>
          <w:sz w:val="22"/>
          <w:szCs w:val="22"/>
          <w:lang w:eastAsia="x-none"/>
        </w:rPr>
        <w:t>Dean Lee)</w:t>
      </w:r>
    </w:p>
    <w:p w14:paraId="1A56D804"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The CBT core facility comprises over 2600 sq ft of multiple laboratory suites, including ISO 7 cleanrooms, QC laboratory, research, and development, LN2 storage, inventory, and associated offices. Critical spaces maintain controlled access using an electronic card key system. Equipment includes biological safety workstations for ISO5 manipulations, benchtop centrifuges, CO</w:t>
      </w:r>
      <w:r w:rsidRPr="00DB3B47">
        <w:rPr>
          <w:rFonts w:ascii="Arial" w:hAnsi="Arial" w:cs="Arial"/>
          <w:kern w:val="2"/>
          <w:sz w:val="22"/>
          <w:szCs w:val="22"/>
          <w:vertAlign w:val="subscript"/>
          <w:lang w:eastAsia="x-none"/>
        </w:rPr>
        <w:t>2</w:t>
      </w:r>
      <w:r w:rsidRPr="00DB3B47">
        <w:rPr>
          <w:rFonts w:ascii="Arial" w:hAnsi="Arial" w:cs="Arial"/>
          <w:kern w:val="2"/>
          <w:sz w:val="22"/>
          <w:szCs w:val="22"/>
          <w:lang w:eastAsia="x-none"/>
        </w:rPr>
        <w:t xml:space="preserve"> incubators, </w:t>
      </w:r>
      <w:proofErr w:type="spellStart"/>
      <w:r w:rsidRPr="00DB3B47">
        <w:rPr>
          <w:rFonts w:ascii="Arial" w:hAnsi="Arial" w:cs="Arial"/>
          <w:kern w:val="2"/>
          <w:sz w:val="22"/>
          <w:szCs w:val="22"/>
          <w:lang w:eastAsia="x-none"/>
        </w:rPr>
        <w:t>Miltenyi</w:t>
      </w:r>
      <w:proofErr w:type="spellEnd"/>
      <w:r w:rsidRPr="00DB3B47">
        <w:rPr>
          <w:rFonts w:ascii="Arial" w:hAnsi="Arial" w:cs="Arial"/>
          <w:kern w:val="2"/>
          <w:sz w:val="22"/>
          <w:szCs w:val="22"/>
          <w:lang w:eastAsia="x-none"/>
        </w:rPr>
        <w:t xml:space="preserve"> </w:t>
      </w:r>
      <w:proofErr w:type="spellStart"/>
      <w:r w:rsidRPr="00DB3B47">
        <w:rPr>
          <w:rFonts w:ascii="Arial" w:hAnsi="Arial" w:cs="Arial"/>
          <w:kern w:val="2"/>
          <w:sz w:val="22"/>
          <w:szCs w:val="22"/>
          <w:lang w:eastAsia="x-none"/>
        </w:rPr>
        <w:t>CliniMACS</w:t>
      </w:r>
      <w:proofErr w:type="spellEnd"/>
      <w:r w:rsidRPr="00DB3B47">
        <w:rPr>
          <w:rFonts w:ascii="Arial" w:hAnsi="Arial" w:cs="Arial"/>
          <w:kern w:val="2"/>
          <w:sz w:val="22"/>
          <w:szCs w:val="22"/>
          <w:lang w:eastAsia="x-none"/>
        </w:rPr>
        <w:t xml:space="preserve"> device, 3 </w:t>
      </w:r>
      <w:proofErr w:type="spellStart"/>
      <w:r w:rsidRPr="00DB3B47">
        <w:rPr>
          <w:rFonts w:ascii="Arial" w:hAnsi="Arial" w:cs="Arial"/>
          <w:kern w:val="2"/>
          <w:sz w:val="22"/>
          <w:szCs w:val="22"/>
          <w:lang w:eastAsia="x-none"/>
        </w:rPr>
        <w:t>Miltenyi</w:t>
      </w:r>
      <w:proofErr w:type="spellEnd"/>
      <w:r w:rsidRPr="00DB3B47">
        <w:rPr>
          <w:rFonts w:ascii="Arial" w:hAnsi="Arial" w:cs="Arial"/>
          <w:kern w:val="2"/>
          <w:sz w:val="22"/>
          <w:szCs w:val="22"/>
          <w:lang w:eastAsia="x-none"/>
        </w:rPr>
        <w:t xml:space="preserve"> Prodigy Cell Processing Systems, </w:t>
      </w:r>
      <w:proofErr w:type="spellStart"/>
      <w:r w:rsidRPr="00DB3B47">
        <w:rPr>
          <w:rFonts w:ascii="Arial" w:hAnsi="Arial" w:cs="Arial"/>
          <w:kern w:val="2"/>
          <w:sz w:val="22"/>
          <w:szCs w:val="22"/>
          <w:lang w:eastAsia="x-none"/>
        </w:rPr>
        <w:t>MACSQuant</w:t>
      </w:r>
      <w:proofErr w:type="spellEnd"/>
      <w:r w:rsidRPr="00DB3B47">
        <w:rPr>
          <w:rFonts w:ascii="Arial" w:hAnsi="Arial" w:cs="Arial"/>
          <w:kern w:val="2"/>
          <w:sz w:val="22"/>
          <w:szCs w:val="22"/>
          <w:lang w:eastAsia="x-none"/>
        </w:rPr>
        <w:t xml:space="preserve"> cytometer, 4 GE Xuri W25 Cell Expansion Systems, Sepax 2 Cell Processor, and </w:t>
      </w:r>
      <w:proofErr w:type="spellStart"/>
      <w:r w:rsidRPr="00DB3B47">
        <w:rPr>
          <w:rFonts w:ascii="Arial" w:hAnsi="Arial" w:cs="Arial"/>
          <w:kern w:val="2"/>
          <w:sz w:val="22"/>
          <w:szCs w:val="22"/>
          <w:lang w:eastAsia="x-none"/>
        </w:rPr>
        <w:t>Faxitron</w:t>
      </w:r>
      <w:proofErr w:type="spellEnd"/>
      <w:r w:rsidRPr="00DB3B47">
        <w:rPr>
          <w:rFonts w:ascii="Arial" w:hAnsi="Arial" w:cs="Arial"/>
          <w:kern w:val="2"/>
          <w:sz w:val="22"/>
          <w:szCs w:val="22"/>
          <w:lang w:eastAsia="x-none"/>
        </w:rPr>
        <w:t xml:space="preserve"> </w:t>
      </w:r>
      <w:proofErr w:type="spellStart"/>
      <w:r w:rsidRPr="00DB3B47">
        <w:rPr>
          <w:rFonts w:ascii="Arial" w:hAnsi="Arial" w:cs="Arial"/>
          <w:kern w:val="2"/>
          <w:sz w:val="22"/>
          <w:szCs w:val="22"/>
          <w:lang w:eastAsia="x-none"/>
        </w:rPr>
        <w:t>MultiRad</w:t>
      </w:r>
      <w:proofErr w:type="spellEnd"/>
      <w:r w:rsidRPr="00DB3B47">
        <w:rPr>
          <w:rFonts w:ascii="Arial" w:hAnsi="Arial" w:cs="Arial"/>
          <w:kern w:val="2"/>
          <w:sz w:val="22"/>
          <w:szCs w:val="22"/>
          <w:lang w:eastAsia="x-none"/>
        </w:rPr>
        <w:t xml:space="preserve"> 160 X-ray irradiator. Current Good Manufacturing Practices (</w:t>
      </w:r>
      <w:proofErr w:type="spellStart"/>
      <w:r w:rsidRPr="00DB3B47">
        <w:rPr>
          <w:rFonts w:ascii="Arial" w:hAnsi="Arial" w:cs="Arial"/>
          <w:kern w:val="2"/>
          <w:sz w:val="22"/>
          <w:szCs w:val="22"/>
          <w:lang w:eastAsia="x-none"/>
        </w:rPr>
        <w:t>cGMPs</w:t>
      </w:r>
      <w:proofErr w:type="spellEnd"/>
      <w:r w:rsidRPr="00DB3B47">
        <w:rPr>
          <w:rFonts w:ascii="Arial" w:hAnsi="Arial" w:cs="Arial"/>
          <w:kern w:val="2"/>
          <w:sz w:val="22"/>
          <w:szCs w:val="22"/>
          <w:lang w:eastAsia="x-none"/>
        </w:rPr>
        <w:t xml:space="preserve">) are followed for all CBT products. A robust quality assurance program is in place that includes environmental monitoring, continuous equipment and facility monitoring with remote alarms, appropriate gowning practices, and documented facility and equipment cleaning and maintenance. </w:t>
      </w:r>
    </w:p>
    <w:p w14:paraId="10A9C874" w14:textId="77777777" w:rsidR="00011F04" w:rsidRPr="00DB3B47" w:rsidRDefault="00011F04" w:rsidP="00651BD0">
      <w:pPr>
        <w:widowControl w:val="0"/>
        <w:numPr>
          <w:ilvl w:val="0"/>
          <w:numId w:val="39"/>
        </w:numPr>
        <w:snapToGrid w:val="0"/>
        <w:spacing w:after="120"/>
        <w:ind w:left="0" w:firstLine="0"/>
        <w:jc w:val="both"/>
        <w:rPr>
          <w:rFonts w:ascii="Arial" w:hAnsi="Arial" w:cs="Arial"/>
          <w:kern w:val="2"/>
          <w:sz w:val="22"/>
          <w:szCs w:val="22"/>
          <w:lang w:eastAsia="x-none"/>
        </w:rPr>
      </w:pPr>
      <w:r w:rsidRPr="00DB3B47">
        <w:rPr>
          <w:rFonts w:ascii="Arial" w:hAnsi="Arial" w:cs="Arial"/>
          <w:kern w:val="2"/>
          <w:sz w:val="22"/>
          <w:szCs w:val="22"/>
          <w:lang w:eastAsia="x-none"/>
        </w:rPr>
        <w:t>Research and Development Suite (W280): 500 sq. ft. providing customized process development services and research-grade cell products of superior quality.</w:t>
      </w:r>
    </w:p>
    <w:p w14:paraId="5C7BCA0E" w14:textId="77777777" w:rsidR="00011F04" w:rsidRPr="00DB3B47" w:rsidRDefault="00011F04" w:rsidP="00651BD0">
      <w:pPr>
        <w:widowControl w:val="0"/>
        <w:numPr>
          <w:ilvl w:val="0"/>
          <w:numId w:val="40"/>
        </w:numPr>
        <w:snapToGrid w:val="0"/>
        <w:spacing w:after="120"/>
        <w:ind w:left="0" w:firstLine="0"/>
        <w:jc w:val="both"/>
        <w:rPr>
          <w:rFonts w:ascii="Arial" w:hAnsi="Arial" w:cs="Arial"/>
          <w:kern w:val="2"/>
          <w:sz w:val="22"/>
          <w:szCs w:val="22"/>
          <w:lang w:eastAsia="x-none"/>
        </w:rPr>
      </w:pPr>
      <w:r w:rsidRPr="00DB3B47">
        <w:rPr>
          <w:rFonts w:ascii="Arial" w:hAnsi="Arial" w:cs="Arial"/>
          <w:kern w:val="2"/>
          <w:sz w:val="22"/>
          <w:szCs w:val="22"/>
          <w:lang w:eastAsia="x-none"/>
        </w:rPr>
        <w:t>Cell Production Suites (WA3114 and W282): Four separate manufacturing suites comprising 1,200 sq. ft. of ISO 7 space</w:t>
      </w:r>
    </w:p>
    <w:p w14:paraId="1403529B" w14:textId="77777777" w:rsidR="00011F04" w:rsidRPr="00DB3B47" w:rsidRDefault="00011F04" w:rsidP="00651BD0">
      <w:pPr>
        <w:widowControl w:val="0"/>
        <w:numPr>
          <w:ilvl w:val="0"/>
          <w:numId w:val="40"/>
        </w:numPr>
        <w:snapToGrid w:val="0"/>
        <w:spacing w:after="120"/>
        <w:ind w:left="0" w:firstLine="0"/>
        <w:jc w:val="both"/>
        <w:rPr>
          <w:rFonts w:ascii="Arial" w:hAnsi="Arial" w:cs="Arial"/>
          <w:kern w:val="2"/>
          <w:sz w:val="22"/>
          <w:szCs w:val="22"/>
          <w:lang w:eastAsia="x-none"/>
        </w:rPr>
      </w:pPr>
      <w:r w:rsidRPr="00DB3B47">
        <w:rPr>
          <w:rFonts w:ascii="Arial" w:hAnsi="Arial" w:cs="Arial"/>
          <w:kern w:val="2"/>
          <w:sz w:val="22"/>
          <w:szCs w:val="22"/>
          <w:lang w:eastAsia="x-none"/>
        </w:rPr>
        <w:t>QC Laboratory Suite (WA3104): 593.0 sq. ft. lab for in-process, release and stability testing including microbiology, tissue culture assays, flow cytometry, quantitative PCR, ELISA, and other chemical and physical tests.</w:t>
      </w:r>
    </w:p>
    <w:p w14:paraId="5E84BDC7" w14:textId="77777777" w:rsidR="00011F04" w:rsidRPr="00DB3B47" w:rsidRDefault="00011F04" w:rsidP="00651BD0">
      <w:pPr>
        <w:widowControl w:val="0"/>
        <w:numPr>
          <w:ilvl w:val="0"/>
          <w:numId w:val="40"/>
        </w:numPr>
        <w:snapToGrid w:val="0"/>
        <w:spacing w:after="120"/>
        <w:ind w:left="0" w:firstLine="0"/>
        <w:jc w:val="both"/>
        <w:rPr>
          <w:rFonts w:ascii="Arial" w:hAnsi="Arial" w:cs="Arial"/>
          <w:kern w:val="2"/>
          <w:sz w:val="22"/>
          <w:szCs w:val="22"/>
          <w:lang w:eastAsia="x-none"/>
        </w:rPr>
      </w:pPr>
      <w:r w:rsidRPr="00DB3B47">
        <w:rPr>
          <w:rFonts w:ascii="Arial" w:hAnsi="Arial" w:cs="Arial"/>
          <w:kern w:val="2"/>
          <w:sz w:val="22"/>
          <w:szCs w:val="22"/>
          <w:lang w:eastAsia="x-none"/>
        </w:rPr>
        <w:t>Temperature-controlled storage (WA3243 and WA3244): Dedicated space for quarantine, storage, and release of materials under restricted access, including refrigerators, -80 °C freezers, controlled-rate freezers for cryopreservation, and LN2 freezers for long-term storage.</w:t>
      </w:r>
    </w:p>
    <w:p w14:paraId="25716159"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The CBT maintains these facilities, equipment, and personal for manufacturing a wide range of cellular therapeutic products for clinical trials, such as NK cells, CAR T cells, and virus-specific T cells. The facility also manufactures irradiated CSTX002 feeder cells for ex vivo expansion of NK cells, available at clinical grade or research grade for process development or pre-clinical validation. Additional products can be offered through process-development or technology transfer as needed.</w:t>
      </w:r>
    </w:p>
    <w:p w14:paraId="09B055F2" w14:textId="77777777" w:rsidR="00011F04" w:rsidRPr="00DB3B47" w:rsidRDefault="00011F04" w:rsidP="00651BD0">
      <w:pPr>
        <w:widowControl w:val="0"/>
        <w:numPr>
          <w:ilvl w:val="2"/>
          <w:numId w:val="36"/>
        </w:numPr>
        <w:snapToGrid w:val="0"/>
        <w:spacing w:after="120"/>
        <w:ind w:left="0" w:firstLine="0"/>
        <w:jc w:val="both"/>
        <w:rPr>
          <w:rFonts w:ascii="Arial" w:hAnsi="Arial" w:cs="Arial"/>
          <w:kern w:val="2"/>
          <w:sz w:val="22"/>
          <w:szCs w:val="22"/>
          <w:lang w:eastAsia="x-none"/>
        </w:rPr>
      </w:pPr>
      <w:r w:rsidRPr="00DB3B47">
        <w:rPr>
          <w:rFonts w:ascii="Arial" w:hAnsi="Arial" w:cs="Arial"/>
          <w:b/>
          <w:kern w:val="2"/>
          <w:sz w:val="22"/>
          <w:szCs w:val="22"/>
          <w:lang w:eastAsia="x-none"/>
        </w:rPr>
        <w:t>Cellular Immunotherapy and Cancer Immunology (CTCI) Program</w:t>
      </w:r>
      <w:r w:rsidRPr="00DB3B47">
        <w:rPr>
          <w:rFonts w:ascii="Arial" w:hAnsi="Arial" w:cs="Arial"/>
          <w:bCs/>
          <w:kern w:val="2"/>
          <w:sz w:val="22"/>
          <w:szCs w:val="22"/>
          <w:lang w:eastAsia="x-none"/>
        </w:rPr>
        <w:t xml:space="preserve">: </w:t>
      </w:r>
      <w:r w:rsidRPr="00DB3B47">
        <w:rPr>
          <w:rFonts w:ascii="Arial" w:hAnsi="Arial" w:cs="Arial"/>
          <w:kern w:val="2"/>
          <w:sz w:val="22"/>
          <w:szCs w:val="22"/>
          <w:lang w:eastAsia="x-none"/>
        </w:rPr>
        <w:t xml:space="preserve">The CTCI Program </w:t>
      </w:r>
      <w:r w:rsidRPr="00DB3B47">
        <w:rPr>
          <w:rFonts w:ascii="Arial" w:hAnsi="Arial" w:cs="Arial"/>
          <w:bCs/>
          <w:kern w:val="2"/>
          <w:sz w:val="22"/>
          <w:szCs w:val="22"/>
          <w:lang w:eastAsia="x-none"/>
        </w:rPr>
        <w:t xml:space="preserve">(Dr. </w:t>
      </w:r>
      <w:r w:rsidRPr="00DB3B47">
        <w:rPr>
          <w:rFonts w:ascii="Arial" w:hAnsi="Arial" w:cs="Arial"/>
          <w:b/>
          <w:kern w:val="2"/>
          <w:sz w:val="22"/>
          <w:szCs w:val="22"/>
          <w:lang w:eastAsia="x-none"/>
        </w:rPr>
        <w:t>Dean Lee</w:t>
      </w:r>
      <w:r w:rsidRPr="00DB3B47">
        <w:rPr>
          <w:rFonts w:ascii="Arial" w:hAnsi="Arial" w:cs="Arial"/>
          <w:bCs/>
          <w:kern w:val="2"/>
          <w:sz w:val="22"/>
          <w:szCs w:val="22"/>
          <w:lang w:eastAsia="x-none"/>
        </w:rPr>
        <w:t>)</w:t>
      </w:r>
      <w:r w:rsidRPr="00DB3B47">
        <w:rPr>
          <w:rFonts w:ascii="Arial" w:hAnsi="Arial" w:cs="Arial"/>
          <w:kern w:val="2"/>
          <w:sz w:val="22"/>
          <w:szCs w:val="22"/>
          <w:lang w:eastAsia="x-none"/>
        </w:rPr>
        <w:t xml:space="preserve"> is a newly-formed joint program between NCH and the OSU Comprehensive Cancer Center, of which Dr. </w:t>
      </w:r>
      <w:r w:rsidRPr="00DB3B47">
        <w:rPr>
          <w:rFonts w:ascii="Arial" w:hAnsi="Arial" w:cs="Arial"/>
          <w:b/>
          <w:bCs/>
          <w:kern w:val="2"/>
          <w:sz w:val="22"/>
          <w:szCs w:val="22"/>
          <w:lang w:eastAsia="x-none"/>
        </w:rPr>
        <w:t>Lee</w:t>
      </w:r>
      <w:r w:rsidRPr="00DB3B47">
        <w:rPr>
          <w:rFonts w:ascii="Arial" w:hAnsi="Arial" w:cs="Arial"/>
          <w:kern w:val="2"/>
          <w:sz w:val="22"/>
          <w:szCs w:val="22"/>
          <w:lang w:eastAsia="x-none"/>
        </w:rPr>
        <w:t xml:space="preserve"> is Director. The OSU James Cancer Hospital Cell Therapy Laboratory (James CTL) is approximately 2600 sq. ft. on the 1</w:t>
      </w:r>
      <w:r w:rsidRPr="00DB3B47">
        <w:rPr>
          <w:rFonts w:ascii="Arial" w:hAnsi="Arial" w:cs="Arial"/>
          <w:kern w:val="2"/>
          <w:sz w:val="22"/>
          <w:szCs w:val="22"/>
          <w:vertAlign w:val="superscript"/>
          <w:lang w:eastAsia="x-none"/>
        </w:rPr>
        <w:t>st</w:t>
      </w:r>
      <w:r w:rsidRPr="00DB3B47">
        <w:rPr>
          <w:rFonts w:ascii="Arial" w:hAnsi="Arial" w:cs="Arial"/>
          <w:kern w:val="2"/>
          <w:sz w:val="22"/>
          <w:szCs w:val="22"/>
          <w:lang w:eastAsia="x-none"/>
        </w:rPr>
        <w:t xml:space="preserve"> floor of the James with ISO8, ISO7, and support areas. It features an ISO8-classified space for product labeling, QC testing, GTP processing, freezing and storage, and a gowning room into the ISO7-classified clean room suite. The clean room suite includes a prep area and two 220 sq. ft. clean rooms. Pressure differentials are maintained across all classification changes and other critical junctions, with positive pressure maintained from cleaner to dirtier areas. Support areas include and unclassified storage room for tank storage and gas manifolds and a Clean Non-Classified (CNC) space with supply storage and staff offices.</w:t>
      </w:r>
    </w:p>
    <w:p w14:paraId="4CDDEABF"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 xml:space="preserve">The James CTL is equipped to perform a full array of cell processing, testing and storage of cellular components. </w:t>
      </w:r>
      <w:r w:rsidRPr="00DB3B47">
        <w:rPr>
          <w:rFonts w:ascii="Arial" w:hAnsi="Arial" w:cs="Arial"/>
          <w:kern w:val="2"/>
          <w:sz w:val="22"/>
          <w:szCs w:val="22"/>
          <w:lang w:eastAsia="x-none"/>
        </w:rPr>
        <w:lastRenderedPageBreak/>
        <w:t>The major equipment includes nine laminar flow hoods, eight CO</w:t>
      </w:r>
      <w:r w:rsidRPr="00DB3B47">
        <w:rPr>
          <w:rFonts w:ascii="Arial" w:hAnsi="Arial" w:cs="Arial"/>
          <w:kern w:val="2"/>
          <w:sz w:val="22"/>
          <w:szCs w:val="22"/>
          <w:vertAlign w:val="subscript"/>
          <w:lang w:eastAsia="x-none"/>
        </w:rPr>
        <w:t>2</w:t>
      </w:r>
      <w:r w:rsidRPr="00DB3B47">
        <w:rPr>
          <w:rFonts w:ascii="Arial" w:hAnsi="Arial" w:cs="Arial"/>
          <w:kern w:val="2"/>
          <w:sz w:val="22"/>
          <w:szCs w:val="22"/>
          <w:lang w:eastAsia="x-none"/>
        </w:rPr>
        <w:t xml:space="preserve"> incubators, refrigerated table top centrifuges, </w:t>
      </w:r>
      <w:proofErr w:type="spellStart"/>
      <w:r w:rsidRPr="00DB3B47">
        <w:rPr>
          <w:rFonts w:ascii="Arial" w:hAnsi="Arial" w:cs="Arial"/>
          <w:kern w:val="2"/>
          <w:sz w:val="22"/>
          <w:szCs w:val="22"/>
          <w:lang w:eastAsia="x-none"/>
        </w:rPr>
        <w:t>AcT</w:t>
      </w:r>
      <w:proofErr w:type="spellEnd"/>
      <w:r w:rsidRPr="00DB3B47">
        <w:rPr>
          <w:rFonts w:ascii="Arial" w:hAnsi="Arial" w:cs="Arial"/>
          <w:kern w:val="2"/>
          <w:sz w:val="22"/>
          <w:szCs w:val="22"/>
          <w:lang w:eastAsia="x-none"/>
        </w:rPr>
        <w:t xml:space="preserve">-Diff® hematology analyzer, </w:t>
      </w:r>
      <w:proofErr w:type="spellStart"/>
      <w:r w:rsidRPr="00DB3B47">
        <w:rPr>
          <w:rFonts w:ascii="Arial" w:hAnsi="Arial" w:cs="Arial"/>
          <w:kern w:val="2"/>
          <w:sz w:val="22"/>
          <w:szCs w:val="22"/>
          <w:lang w:eastAsia="x-none"/>
        </w:rPr>
        <w:t>Cellometer</w:t>
      </w:r>
      <w:proofErr w:type="spellEnd"/>
      <w:r w:rsidRPr="00DB3B47">
        <w:rPr>
          <w:rFonts w:ascii="Arial" w:hAnsi="Arial" w:cs="Arial"/>
          <w:kern w:val="2"/>
          <w:sz w:val="22"/>
          <w:szCs w:val="22"/>
          <w:lang w:eastAsia="x-none"/>
        </w:rPr>
        <w:t xml:space="preserve">® fluorescent cell imager/counter, </w:t>
      </w:r>
      <w:proofErr w:type="spellStart"/>
      <w:r w:rsidRPr="00DB3B47">
        <w:rPr>
          <w:rFonts w:ascii="Arial" w:hAnsi="Arial" w:cs="Arial"/>
          <w:kern w:val="2"/>
          <w:sz w:val="22"/>
          <w:szCs w:val="22"/>
          <w:lang w:eastAsia="x-none"/>
        </w:rPr>
        <w:t>MacsQuant</w:t>
      </w:r>
      <w:proofErr w:type="spellEnd"/>
      <w:r w:rsidRPr="00DB3B47">
        <w:rPr>
          <w:rFonts w:ascii="Arial" w:hAnsi="Arial" w:cs="Arial"/>
          <w:kern w:val="2"/>
          <w:sz w:val="22"/>
          <w:szCs w:val="22"/>
          <w:lang w:eastAsia="x-none"/>
        </w:rPr>
        <w:t xml:space="preserve">® flow cytometer, sterile welding devices, GE Xuri W25 Cell Expansion System, Sepax 2 and Cobe 2991 Cell Processors, </w:t>
      </w:r>
      <w:proofErr w:type="spellStart"/>
      <w:r w:rsidRPr="00DB3B47">
        <w:rPr>
          <w:rFonts w:ascii="Arial" w:hAnsi="Arial" w:cs="Arial"/>
          <w:kern w:val="2"/>
          <w:sz w:val="22"/>
          <w:szCs w:val="22"/>
          <w:lang w:eastAsia="x-none"/>
        </w:rPr>
        <w:t>CliniMACS</w:t>
      </w:r>
      <w:proofErr w:type="spellEnd"/>
      <w:r w:rsidRPr="00DB3B47">
        <w:rPr>
          <w:rFonts w:ascii="Arial" w:hAnsi="Arial" w:cs="Arial"/>
          <w:kern w:val="2"/>
          <w:sz w:val="22"/>
          <w:szCs w:val="22"/>
          <w:lang w:eastAsia="x-none"/>
        </w:rPr>
        <w:t>® and Prodigy® cell selection devices, microscopes, liquid nitrogen storage and controlled rate freezers, refrigerators, and -20ºC and -80ºC freezers. The James CTL is registered with the FDA (FEI# 3004453885) as a manufacturer of human cells, tissues and cellular and tissue-based products (HCT/Ps) and accredited by the Foundation for the Accreditation of Cellular Therapy (FACT) and the College of American Pathologists (CAP).</w:t>
      </w:r>
    </w:p>
    <w:p w14:paraId="78838650" w14:textId="77777777" w:rsidR="00011F04" w:rsidRPr="00DB3B47" w:rsidRDefault="00011F04" w:rsidP="00DB3B47">
      <w:pPr>
        <w:widowControl w:val="0"/>
        <w:snapToGrid w:val="0"/>
        <w:spacing w:after="120"/>
        <w:jc w:val="both"/>
        <w:rPr>
          <w:rFonts w:ascii="Arial" w:hAnsi="Arial" w:cs="Arial"/>
          <w:b/>
          <w:bCs/>
          <w:kern w:val="2"/>
          <w:sz w:val="22"/>
          <w:szCs w:val="22"/>
          <w:lang w:eastAsia="x-none"/>
        </w:rPr>
      </w:pPr>
      <w:r w:rsidRPr="00DB3B47">
        <w:rPr>
          <w:rFonts w:ascii="Arial" w:hAnsi="Arial" w:cs="Arial"/>
          <w:kern w:val="2"/>
          <w:sz w:val="22"/>
          <w:szCs w:val="22"/>
          <w:lang w:eastAsia="x-none"/>
        </w:rPr>
        <w:t xml:space="preserve">The GMP-compliant manufacturing facility at NCH, is approximately 20,000 </w:t>
      </w:r>
      <w:proofErr w:type="spellStart"/>
      <w:r w:rsidRPr="00DB3B47">
        <w:rPr>
          <w:rFonts w:ascii="Arial" w:hAnsi="Arial" w:cs="Arial"/>
          <w:kern w:val="2"/>
          <w:sz w:val="22"/>
          <w:szCs w:val="22"/>
          <w:lang w:eastAsia="x-none"/>
        </w:rPr>
        <w:t>s.f.</w:t>
      </w:r>
      <w:proofErr w:type="spellEnd"/>
      <w:r w:rsidRPr="00DB3B47">
        <w:rPr>
          <w:rFonts w:ascii="Arial" w:hAnsi="Arial" w:cs="Arial"/>
          <w:kern w:val="2"/>
          <w:sz w:val="22"/>
          <w:szCs w:val="22"/>
          <w:lang w:eastAsia="x-none"/>
        </w:rPr>
        <w:t xml:space="preserve"> located in Research Building III with separate vector production laboratory (VPL) and cell-based therapy (CBT) manufacturing areas, QA/QC, and office space. The Cell-Based Therapies manufacturing space is an open design ISO7 cleanroom of 1,200 </w:t>
      </w:r>
      <w:proofErr w:type="spellStart"/>
      <w:r w:rsidRPr="00DB3B47">
        <w:rPr>
          <w:rFonts w:ascii="Arial" w:hAnsi="Arial" w:cs="Arial"/>
          <w:kern w:val="2"/>
          <w:sz w:val="22"/>
          <w:szCs w:val="22"/>
          <w:lang w:eastAsia="x-none"/>
        </w:rPr>
        <w:t>s.f.</w:t>
      </w:r>
      <w:proofErr w:type="spellEnd"/>
      <w:r w:rsidRPr="00DB3B47">
        <w:rPr>
          <w:rFonts w:ascii="Arial" w:hAnsi="Arial" w:cs="Arial"/>
          <w:kern w:val="2"/>
          <w:sz w:val="22"/>
          <w:szCs w:val="22"/>
          <w:lang w:eastAsia="x-none"/>
        </w:rPr>
        <w:t xml:space="preserve">, adjacent to 2,000 </w:t>
      </w:r>
      <w:proofErr w:type="spellStart"/>
      <w:r w:rsidRPr="00DB3B47">
        <w:rPr>
          <w:rFonts w:ascii="Arial" w:hAnsi="Arial" w:cs="Arial"/>
          <w:kern w:val="2"/>
          <w:sz w:val="22"/>
          <w:szCs w:val="22"/>
          <w:lang w:eastAsia="x-none"/>
        </w:rPr>
        <w:t>s.f.</w:t>
      </w:r>
      <w:proofErr w:type="spellEnd"/>
      <w:r w:rsidRPr="00DB3B47">
        <w:rPr>
          <w:rFonts w:ascii="Arial" w:hAnsi="Arial" w:cs="Arial"/>
          <w:kern w:val="2"/>
          <w:sz w:val="22"/>
          <w:szCs w:val="22"/>
          <w:lang w:eastAsia="x-none"/>
        </w:rPr>
        <w:t xml:space="preserve"> of QA/QC, supply chain, and process development space. Equipment will include </w:t>
      </w:r>
      <w:proofErr w:type="spellStart"/>
      <w:r w:rsidRPr="00DB3B47">
        <w:rPr>
          <w:rFonts w:ascii="Arial" w:hAnsi="Arial" w:cs="Arial"/>
          <w:kern w:val="2"/>
          <w:sz w:val="22"/>
          <w:szCs w:val="22"/>
          <w:lang w:eastAsia="x-none"/>
        </w:rPr>
        <w:t>CliniMACS</w:t>
      </w:r>
      <w:proofErr w:type="spellEnd"/>
      <w:r w:rsidRPr="00DB3B47">
        <w:rPr>
          <w:rFonts w:ascii="Arial" w:hAnsi="Arial" w:cs="Arial"/>
          <w:kern w:val="2"/>
          <w:sz w:val="22"/>
          <w:szCs w:val="22"/>
          <w:lang w:eastAsia="x-none"/>
        </w:rPr>
        <w:t xml:space="preserve"> Cell Selection and Prodigy bioreactors, </w:t>
      </w:r>
      <w:proofErr w:type="spellStart"/>
      <w:r w:rsidRPr="00DB3B47">
        <w:rPr>
          <w:rFonts w:ascii="Arial" w:hAnsi="Arial" w:cs="Arial"/>
          <w:kern w:val="2"/>
          <w:sz w:val="22"/>
          <w:szCs w:val="22"/>
          <w:lang w:eastAsia="x-none"/>
        </w:rPr>
        <w:t>MACSQuant</w:t>
      </w:r>
      <w:proofErr w:type="spellEnd"/>
      <w:r w:rsidRPr="00DB3B47">
        <w:rPr>
          <w:rFonts w:ascii="Arial" w:hAnsi="Arial" w:cs="Arial"/>
          <w:kern w:val="2"/>
          <w:sz w:val="22"/>
          <w:szCs w:val="22"/>
          <w:lang w:eastAsia="x-none"/>
        </w:rPr>
        <w:t xml:space="preserve"> cytometer, GE Xuri W25 Cell Expansion System, Sepax 2 Cell Processor, and </w:t>
      </w:r>
      <w:proofErr w:type="spellStart"/>
      <w:r w:rsidRPr="00DB3B47">
        <w:rPr>
          <w:rFonts w:ascii="Arial" w:hAnsi="Arial" w:cs="Arial"/>
          <w:kern w:val="2"/>
          <w:sz w:val="22"/>
          <w:szCs w:val="22"/>
          <w:lang w:eastAsia="x-none"/>
        </w:rPr>
        <w:t>Faxitron</w:t>
      </w:r>
      <w:proofErr w:type="spellEnd"/>
      <w:r w:rsidRPr="00DB3B47">
        <w:rPr>
          <w:rFonts w:ascii="Arial" w:hAnsi="Arial" w:cs="Arial"/>
          <w:kern w:val="2"/>
          <w:sz w:val="22"/>
          <w:szCs w:val="22"/>
          <w:lang w:eastAsia="x-none"/>
        </w:rPr>
        <w:t xml:space="preserve"> </w:t>
      </w:r>
      <w:proofErr w:type="spellStart"/>
      <w:r w:rsidRPr="00DB3B47">
        <w:rPr>
          <w:rFonts w:ascii="Arial" w:hAnsi="Arial" w:cs="Arial"/>
          <w:kern w:val="2"/>
          <w:sz w:val="22"/>
          <w:szCs w:val="22"/>
          <w:lang w:eastAsia="x-none"/>
        </w:rPr>
        <w:t>MultiRad</w:t>
      </w:r>
      <w:proofErr w:type="spellEnd"/>
      <w:r w:rsidRPr="00DB3B47">
        <w:rPr>
          <w:rFonts w:ascii="Arial" w:hAnsi="Arial" w:cs="Arial"/>
          <w:kern w:val="2"/>
          <w:sz w:val="22"/>
          <w:szCs w:val="22"/>
          <w:lang w:eastAsia="x-none"/>
        </w:rPr>
        <w:t xml:space="preserve"> 160 X-ray irradiator. Current Good Manufacturing Practices (</w:t>
      </w:r>
      <w:proofErr w:type="spellStart"/>
      <w:r w:rsidRPr="00DB3B47">
        <w:rPr>
          <w:rFonts w:ascii="Arial" w:hAnsi="Arial" w:cs="Arial"/>
          <w:kern w:val="2"/>
          <w:sz w:val="22"/>
          <w:szCs w:val="22"/>
          <w:lang w:eastAsia="x-none"/>
        </w:rPr>
        <w:t>cGMPs</w:t>
      </w:r>
      <w:proofErr w:type="spellEnd"/>
      <w:r w:rsidRPr="00DB3B47">
        <w:rPr>
          <w:rFonts w:ascii="Arial" w:hAnsi="Arial" w:cs="Arial"/>
          <w:kern w:val="2"/>
          <w:sz w:val="22"/>
          <w:szCs w:val="22"/>
          <w:lang w:eastAsia="x-none"/>
        </w:rPr>
        <w:t>) are followed for all CTCI products under IND or IDE. A robust quality assurance program is in place that includes environmental monitoring, continuous equipment and facility monitoring with remote alarms, appropriate gowning practices, and documented facility and equipment cleaning and maintenance.</w:t>
      </w:r>
    </w:p>
    <w:p w14:paraId="68C49E9A" w14:textId="77777777" w:rsidR="00011F04" w:rsidRPr="00DB3B47" w:rsidRDefault="00011F04" w:rsidP="00651BD0">
      <w:pPr>
        <w:widowControl w:val="0"/>
        <w:numPr>
          <w:ilvl w:val="2"/>
          <w:numId w:val="36"/>
        </w:numPr>
        <w:snapToGrid w:val="0"/>
        <w:spacing w:after="120"/>
        <w:ind w:left="0" w:firstLine="0"/>
        <w:jc w:val="both"/>
        <w:rPr>
          <w:rFonts w:ascii="Arial" w:hAnsi="Arial" w:cs="Arial"/>
          <w:b/>
          <w:bCs/>
          <w:kern w:val="2"/>
          <w:sz w:val="22"/>
          <w:szCs w:val="22"/>
          <w:lang w:eastAsia="x-none"/>
        </w:rPr>
      </w:pPr>
      <w:r w:rsidRPr="00DB3B47">
        <w:rPr>
          <w:rFonts w:ascii="Arial" w:hAnsi="Arial" w:cs="Arial"/>
          <w:b/>
          <w:bCs/>
          <w:kern w:val="2"/>
          <w:sz w:val="22"/>
          <w:szCs w:val="22"/>
          <w:lang w:eastAsia="x-none"/>
        </w:rPr>
        <w:t xml:space="preserve">Cell Line Core </w:t>
      </w:r>
    </w:p>
    <w:p w14:paraId="5A055761"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The Cell Line Core supports investigators who require live cell lines using tissue samples (non-tumor) obtained from human subjects. Services include: 1) generation of EBV transformed B-cell immortalized cell lines from peripheral blood; 2) creation of fibroblast cell lines from skin biopsy samples; 3) immortalization of fibroblasts and other primary cell types using lentiviral transduction of hTERT; 4) DNA extraction from the initial sample, primary cell lines and immortalized cell lines; and 5) biorepository of cell lines through redundant archiving. The Cell Line Core also creates myogenic fibroblasts via trans-differentiation of dermal fibroblasts in its role as the Muscular Dystrophy Cell Line and Serum Banking Core (1P50AR070604-01) for the Center of Research Translation in Muscular Dystrophy Therapeutic Development. Additional tissue types or samples from a variety of species may be processed on request. The core also possesses a set of lymphoblastoid cell lines and DNA from over 375 individuals of European and African-American ancestry obtained from the local population and 120 subject of the North European CEPH HapMap set for use as normal controls in genotyping, or gene expression studies.</w:t>
      </w:r>
    </w:p>
    <w:p w14:paraId="19F6117D" w14:textId="77777777" w:rsidR="00011F04" w:rsidRPr="00DB3B47" w:rsidRDefault="00011F04" w:rsidP="00651BD0">
      <w:pPr>
        <w:widowControl w:val="0"/>
        <w:numPr>
          <w:ilvl w:val="2"/>
          <w:numId w:val="36"/>
        </w:numPr>
        <w:snapToGrid w:val="0"/>
        <w:spacing w:after="120"/>
        <w:ind w:left="0" w:firstLine="0"/>
        <w:jc w:val="both"/>
        <w:rPr>
          <w:rFonts w:ascii="Arial" w:hAnsi="Arial" w:cs="Arial"/>
          <w:b/>
          <w:kern w:val="2"/>
          <w:sz w:val="22"/>
          <w:szCs w:val="22"/>
          <w:lang w:eastAsia="x-none"/>
        </w:rPr>
      </w:pPr>
      <w:r w:rsidRPr="00DB3B47">
        <w:rPr>
          <w:rFonts w:ascii="Arial" w:hAnsi="Arial" w:cs="Arial"/>
          <w:b/>
          <w:kern w:val="2"/>
          <w:sz w:val="22"/>
          <w:szCs w:val="22"/>
          <w:lang w:eastAsia="x-none"/>
        </w:rPr>
        <w:t>Clinical Research Services</w:t>
      </w:r>
    </w:p>
    <w:p w14:paraId="10099572"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CRS is a portal through which clinical investigators access efficient coordination of services necessary to initiate and implement clinical research projects. CRS provides staff and/or services to manage a study from beginning to end according to Good Clinical Practice and federal, state, and institutional regulations and guidelines. Services include clinical research education and training; clinical research project consultation; study design assistance; protocol development and feasibility; regulatory/IRB document preparation and management services; clinical research budget development, including research pricing; data collection for subject tracking to ensure proper invoicing/revenue capture; and overall study management provided by certified and extensively trained clinical research coordinators and nurses. CRS also has a core set of program coordinators who can oversee multi-site programs and/or large research programs with multiple PI’s and projects. CRS provides &gt;7,000 square feet of secure, dedicated clinical research space with six private exam rooms that are bariatric and handicapped equipped. A 23-hour overnight space is available for overnight monitoring or pharmacokinetic components of a project. The space contains a state-of-the-art clinical laboratory facility, an emergency care crash cart, observations room, and a dedicated reception/waiting area. Investigators also have access to all services provided by NCH including the hospital clinical laboratories, radiology, neuro-diagnostic testing, sleep diagnostic testing, cardiology/EKG, infusion clinic, and a research pharmacy. Inpatient clinical research services are currently available at NCH and OSU Clinical Research Center (10min the NCH’s campus).</w:t>
      </w:r>
    </w:p>
    <w:p w14:paraId="5AB6F042" w14:textId="77777777" w:rsidR="00011F04" w:rsidRPr="00DB3B47" w:rsidRDefault="00011F04" w:rsidP="00651BD0">
      <w:pPr>
        <w:widowControl w:val="0"/>
        <w:numPr>
          <w:ilvl w:val="2"/>
          <w:numId w:val="36"/>
        </w:numPr>
        <w:snapToGrid w:val="0"/>
        <w:spacing w:after="120"/>
        <w:ind w:left="0" w:firstLine="0"/>
        <w:jc w:val="both"/>
        <w:rPr>
          <w:rFonts w:ascii="Arial" w:hAnsi="Arial" w:cs="Arial"/>
          <w:b/>
          <w:kern w:val="2"/>
          <w:sz w:val="22"/>
          <w:szCs w:val="22"/>
          <w:lang w:eastAsia="x-none"/>
        </w:rPr>
      </w:pPr>
      <w:r w:rsidRPr="00DB3B47">
        <w:rPr>
          <w:rFonts w:ascii="Arial" w:hAnsi="Arial" w:cs="Arial"/>
          <w:b/>
          <w:kern w:val="2"/>
          <w:sz w:val="22"/>
          <w:szCs w:val="22"/>
          <w:lang w:eastAsia="x-none"/>
        </w:rPr>
        <w:t>CRISPR/Gene Editing Core</w:t>
      </w:r>
    </w:p>
    <w:p w14:paraId="372BF682"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 xml:space="preserve">CRISPR (clustered regularly interspaced short palindromic repeats) is a gene editing technology. The ease and speed of using CRISPR have made the technology a toolbox for everything from basic discovery to clinical therapy, with applications in oncology, immunology, infectious diseases, genetic diseases, etc. Its precision and safety have convinced the FDA to approve several clinical trials using CRISPR in the US. The CRISPR/Gene Editing Core at Nationwide Children’s, in collaboration with OSU, provides investigators at both institutions with </w:t>
      </w:r>
      <w:r w:rsidRPr="00DB3B47">
        <w:rPr>
          <w:rFonts w:ascii="Arial" w:hAnsi="Arial" w:cs="Arial"/>
          <w:kern w:val="2"/>
          <w:sz w:val="22"/>
          <w:szCs w:val="22"/>
          <w:lang w:eastAsia="x-none"/>
        </w:rPr>
        <w:lastRenderedPageBreak/>
        <w:t>CRISPR/Gene Editing services. This shared resource allows researchers to gather preliminary data for grant applications and bring their novel uses of CRISPR/Gene editing closer to the clinic. The team of experts available through the CRISPR/Gene Editing Core has performed CRISPR/gene editing in a variety of cells, including primary immune cells, for researchers around the world. The CRISPR/Gene Editing Core works closely with investigators and research groups to meet their needs with reasonable turnaround times and at affordable prices.</w:t>
      </w:r>
    </w:p>
    <w:p w14:paraId="11BC8E4B" w14:textId="77777777" w:rsidR="00011F04" w:rsidRPr="00DB3B47" w:rsidRDefault="00011F04" w:rsidP="00651BD0">
      <w:pPr>
        <w:widowControl w:val="0"/>
        <w:numPr>
          <w:ilvl w:val="2"/>
          <w:numId w:val="36"/>
        </w:numPr>
        <w:snapToGrid w:val="0"/>
        <w:spacing w:after="120"/>
        <w:ind w:left="0" w:firstLine="0"/>
        <w:jc w:val="both"/>
        <w:rPr>
          <w:rFonts w:ascii="Arial" w:hAnsi="Arial" w:cs="Arial"/>
          <w:kern w:val="2"/>
          <w:sz w:val="22"/>
          <w:szCs w:val="22"/>
          <w:lang w:eastAsia="x-none"/>
        </w:rPr>
      </w:pPr>
      <w:r w:rsidRPr="00DB3B47">
        <w:rPr>
          <w:rFonts w:ascii="Arial" w:hAnsi="Arial" w:cs="Arial"/>
          <w:b/>
          <w:bCs/>
          <w:kern w:val="2"/>
          <w:sz w:val="22"/>
          <w:szCs w:val="22"/>
          <w:lang w:eastAsia="x-none"/>
        </w:rPr>
        <w:t>Flow Cytometry/Immune Monitoring Core</w:t>
      </w:r>
    </w:p>
    <w:p w14:paraId="09AB8035"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 xml:space="preserve">The Flow Cytometry/Immune Monitoring Core offers several platforms for phenotypic, functional, and quantitative analyses of cells, cell-derived analytes, and small particles and is available to all trained investigators. We also provide data analysis training and access to Flow-Jo analysis software. For higher order experimental design, data analysis, figure preparation, or scientific writing, the core also provides consultation services as needed. </w:t>
      </w:r>
    </w:p>
    <w:p w14:paraId="13622422"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i/>
          <w:kern w:val="2"/>
          <w:sz w:val="22"/>
          <w:szCs w:val="22"/>
          <w:lang w:eastAsia="x-none"/>
        </w:rPr>
        <w:t>Analysis</w:t>
      </w:r>
      <w:r w:rsidRPr="00DB3B47">
        <w:rPr>
          <w:rFonts w:ascii="Arial" w:hAnsi="Arial" w:cs="Arial"/>
          <w:kern w:val="2"/>
          <w:sz w:val="22"/>
          <w:szCs w:val="22"/>
          <w:lang w:eastAsia="x-none"/>
        </w:rPr>
        <w:t xml:space="preserve"> – There are several levels of analytical instrumentation available, including two, five laser/18 detector BD </w:t>
      </w:r>
      <w:proofErr w:type="spellStart"/>
      <w:r w:rsidRPr="00DB3B47">
        <w:rPr>
          <w:rFonts w:ascii="Arial" w:hAnsi="Arial" w:cs="Arial"/>
          <w:kern w:val="2"/>
          <w:sz w:val="22"/>
          <w:szCs w:val="22"/>
          <w:lang w:eastAsia="x-none"/>
        </w:rPr>
        <w:t>Fortessa</w:t>
      </w:r>
      <w:proofErr w:type="spellEnd"/>
      <w:r w:rsidRPr="00DB3B47">
        <w:rPr>
          <w:rFonts w:ascii="Arial" w:hAnsi="Arial" w:cs="Arial"/>
          <w:kern w:val="2"/>
          <w:sz w:val="22"/>
          <w:szCs w:val="22"/>
          <w:lang w:eastAsia="x-none"/>
        </w:rPr>
        <w:t xml:space="preserve"> instruments, and a three laser/8 detector BD LSRII. The configurations of our cytometers are kept up-to-date and compatible with newly available dyes (e.g., violet and UV excitation properties).</w:t>
      </w:r>
    </w:p>
    <w:p w14:paraId="3710ECA4" w14:textId="77777777" w:rsidR="00011F04" w:rsidRPr="00DB3B47" w:rsidRDefault="00011F04" w:rsidP="00651BD0">
      <w:pPr>
        <w:widowControl w:val="0"/>
        <w:numPr>
          <w:ilvl w:val="0"/>
          <w:numId w:val="41"/>
        </w:numPr>
        <w:snapToGrid w:val="0"/>
        <w:spacing w:after="120"/>
        <w:ind w:left="0" w:firstLine="0"/>
        <w:jc w:val="both"/>
        <w:rPr>
          <w:rFonts w:ascii="Arial" w:hAnsi="Arial" w:cs="Arial"/>
          <w:kern w:val="2"/>
          <w:sz w:val="22"/>
          <w:szCs w:val="22"/>
          <w:lang w:eastAsia="x-none"/>
        </w:rPr>
      </w:pPr>
      <w:r w:rsidRPr="00DB3B47">
        <w:rPr>
          <w:rFonts w:ascii="Arial" w:hAnsi="Arial" w:cs="Arial"/>
          <w:i/>
          <w:kern w:val="2"/>
          <w:sz w:val="22"/>
          <w:szCs w:val="22"/>
          <w:lang w:eastAsia="x-none"/>
        </w:rPr>
        <w:t>Sorting</w:t>
      </w:r>
      <w:r w:rsidRPr="00DB3B47">
        <w:rPr>
          <w:rFonts w:ascii="Arial" w:hAnsi="Arial" w:cs="Arial"/>
          <w:kern w:val="2"/>
          <w:sz w:val="22"/>
          <w:szCs w:val="22"/>
          <w:lang w:eastAsia="x-none"/>
        </w:rPr>
        <w:t xml:space="preserve"> – Cell sorts can be done on a BD Influx with five lasers and 22 detectors, including a small particle detector. The BD Influx is housed in a Baker biosafety cabinet for sorting at BSL2+ and can sort up to six populations simultaneously while attaining cell purities of &gt;95%. Routine testing of our sorters for performance, by assessing purity, yield, and viability of sorted cells. We have validated our machines for use in sorting applications involving downstream RNA isolation and gene expression analysis.</w:t>
      </w:r>
    </w:p>
    <w:p w14:paraId="1F532393" w14:textId="77777777" w:rsidR="00011F04" w:rsidRPr="00DB3B47" w:rsidRDefault="00011F04" w:rsidP="00651BD0">
      <w:pPr>
        <w:widowControl w:val="0"/>
        <w:numPr>
          <w:ilvl w:val="0"/>
          <w:numId w:val="41"/>
        </w:numPr>
        <w:snapToGrid w:val="0"/>
        <w:spacing w:after="120"/>
        <w:ind w:left="0" w:firstLine="0"/>
        <w:jc w:val="both"/>
        <w:rPr>
          <w:rFonts w:ascii="Arial" w:hAnsi="Arial" w:cs="Arial"/>
          <w:kern w:val="2"/>
          <w:sz w:val="22"/>
          <w:szCs w:val="22"/>
          <w:lang w:eastAsia="x-none"/>
        </w:rPr>
      </w:pPr>
      <w:r w:rsidRPr="00DB3B47">
        <w:rPr>
          <w:rFonts w:ascii="Arial" w:hAnsi="Arial" w:cs="Arial"/>
          <w:i/>
          <w:iCs/>
          <w:kern w:val="2"/>
          <w:sz w:val="22"/>
          <w:szCs w:val="22"/>
          <w:lang w:eastAsia="x-none"/>
        </w:rPr>
        <w:t>Analytes </w:t>
      </w:r>
      <w:r w:rsidRPr="00DB3B47">
        <w:rPr>
          <w:rFonts w:ascii="Arial" w:hAnsi="Arial" w:cs="Arial"/>
          <w:kern w:val="2"/>
          <w:sz w:val="22"/>
          <w:szCs w:val="22"/>
          <w:lang w:eastAsia="x-none"/>
        </w:rPr>
        <w:t>– Our Bio-Plex200 High-Throughput Fluidics (HTF) system enables the detection and quantification of up to 100 biomolecules in a single sample, through the combined use of two lasers and real-time digital signal processing. The Bio-Plex system automates the reading of 96-well plates, yielding up to 9,600 data points in 35 minutes. The Core offers cytokine array analyses as a service.</w:t>
      </w:r>
    </w:p>
    <w:p w14:paraId="538889A1" w14:textId="77777777" w:rsidR="00011F04" w:rsidRPr="00DB3B47" w:rsidRDefault="00011F04" w:rsidP="00651BD0">
      <w:pPr>
        <w:widowControl w:val="0"/>
        <w:numPr>
          <w:ilvl w:val="0"/>
          <w:numId w:val="41"/>
        </w:numPr>
        <w:snapToGrid w:val="0"/>
        <w:spacing w:after="120"/>
        <w:ind w:left="0" w:firstLine="0"/>
        <w:jc w:val="both"/>
        <w:rPr>
          <w:rFonts w:ascii="Arial" w:hAnsi="Arial" w:cs="Arial"/>
          <w:kern w:val="2"/>
          <w:sz w:val="22"/>
          <w:szCs w:val="22"/>
          <w:lang w:eastAsia="x-none"/>
        </w:rPr>
      </w:pPr>
      <w:r w:rsidRPr="00DB3B47">
        <w:rPr>
          <w:rFonts w:ascii="Arial" w:hAnsi="Arial" w:cs="Arial"/>
          <w:i/>
          <w:iCs/>
          <w:kern w:val="2"/>
          <w:sz w:val="22"/>
          <w:szCs w:val="22"/>
          <w:lang w:eastAsia="x-none"/>
        </w:rPr>
        <w:t>Small particles – </w:t>
      </w:r>
      <w:proofErr w:type="spellStart"/>
      <w:r w:rsidRPr="00DB3B47">
        <w:rPr>
          <w:rFonts w:ascii="Arial" w:hAnsi="Arial" w:cs="Arial"/>
          <w:kern w:val="2"/>
          <w:sz w:val="22"/>
          <w:szCs w:val="22"/>
          <w:lang w:eastAsia="x-none"/>
        </w:rPr>
        <w:t>NanoSight</w:t>
      </w:r>
      <w:proofErr w:type="spellEnd"/>
      <w:r w:rsidRPr="00DB3B47">
        <w:rPr>
          <w:rFonts w:ascii="Arial" w:hAnsi="Arial" w:cs="Arial"/>
          <w:kern w:val="2"/>
          <w:sz w:val="22"/>
          <w:szCs w:val="22"/>
          <w:lang w:eastAsia="x-none"/>
        </w:rPr>
        <w:t xml:space="preserve"> NS300 instrument is a user-friendly platform for the routine characterization of nanoparticles. The NS300 provides automated analysis of the size distribution and concentration of nanoparticles ranging in size from 10 nm to 2000 nm in diameter. Our model also offers a two-laser configuration for the detection of various fluorescent dyes excited at 488 and 532 nm wavelengths.</w:t>
      </w:r>
    </w:p>
    <w:p w14:paraId="3814CD6A" w14:textId="77777777" w:rsidR="00011F04" w:rsidRPr="00DB3B47" w:rsidRDefault="00011F04" w:rsidP="00651BD0">
      <w:pPr>
        <w:widowControl w:val="0"/>
        <w:numPr>
          <w:ilvl w:val="0"/>
          <w:numId w:val="41"/>
        </w:numPr>
        <w:snapToGrid w:val="0"/>
        <w:spacing w:after="120"/>
        <w:ind w:left="0" w:firstLine="0"/>
        <w:jc w:val="both"/>
        <w:rPr>
          <w:rFonts w:ascii="Arial" w:hAnsi="Arial" w:cs="Arial"/>
          <w:kern w:val="2"/>
          <w:sz w:val="22"/>
          <w:szCs w:val="22"/>
          <w:lang w:eastAsia="x-none"/>
        </w:rPr>
      </w:pPr>
      <w:r w:rsidRPr="00DB3B47">
        <w:rPr>
          <w:rFonts w:ascii="Arial" w:hAnsi="Arial" w:cs="Arial"/>
          <w:i/>
          <w:iCs/>
          <w:kern w:val="2"/>
          <w:sz w:val="22"/>
          <w:szCs w:val="22"/>
          <w:lang w:eastAsia="x-none"/>
        </w:rPr>
        <w:t>Single-cell preparation </w:t>
      </w:r>
      <w:r w:rsidRPr="00DB3B47">
        <w:rPr>
          <w:rFonts w:ascii="Arial" w:hAnsi="Arial" w:cs="Arial"/>
          <w:kern w:val="2"/>
          <w:sz w:val="22"/>
          <w:szCs w:val="22"/>
          <w:lang w:eastAsia="x-none"/>
        </w:rPr>
        <w:t xml:space="preserve">– Our Fluidigm C1 system allows for the isolation, capture, and preparation of individual cells for use in downstream qPCR or RNAseq analysis. In addition, the C1 system allows for captured cells to be stained and examined by microscopy for viability, surface marker, or reporter expression prior to cell lysis. Due to the time sensitive nature of this application, our C1 system is housed </w:t>
      </w:r>
      <w:proofErr w:type="gramStart"/>
      <w:r w:rsidRPr="00DB3B47">
        <w:rPr>
          <w:rFonts w:ascii="Arial" w:hAnsi="Arial" w:cs="Arial"/>
          <w:kern w:val="2"/>
          <w:sz w:val="22"/>
          <w:szCs w:val="22"/>
          <w:lang w:eastAsia="x-none"/>
        </w:rPr>
        <w:t>in close proximity to</w:t>
      </w:r>
      <w:proofErr w:type="gramEnd"/>
      <w:r w:rsidRPr="00DB3B47">
        <w:rPr>
          <w:rFonts w:ascii="Arial" w:hAnsi="Arial" w:cs="Arial"/>
          <w:kern w:val="2"/>
          <w:sz w:val="22"/>
          <w:szCs w:val="22"/>
          <w:lang w:eastAsia="x-none"/>
        </w:rPr>
        <w:t xml:space="preserve"> our BD Influx sorter, a Leica inverted fluorescent microscope, and a designated space containing all the necessary equipment for in-house sample preparation.</w:t>
      </w:r>
    </w:p>
    <w:p w14:paraId="111932E1"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The core also offers multiple platforms of immunological testing in support of research clinical trials and is available to all investigators interested in supporting assay harmonization for these complex and fragile methods. Services available:</w:t>
      </w:r>
    </w:p>
    <w:p w14:paraId="0EC18D46" w14:textId="77777777" w:rsidR="00011F04" w:rsidRPr="00DB3B47" w:rsidRDefault="00011F04" w:rsidP="00651BD0">
      <w:pPr>
        <w:widowControl w:val="0"/>
        <w:numPr>
          <w:ilvl w:val="0"/>
          <w:numId w:val="42"/>
        </w:numPr>
        <w:snapToGrid w:val="0"/>
        <w:spacing w:after="120"/>
        <w:ind w:left="0" w:firstLine="0"/>
        <w:jc w:val="both"/>
        <w:rPr>
          <w:rFonts w:ascii="Arial" w:hAnsi="Arial" w:cs="Arial"/>
          <w:i/>
          <w:kern w:val="2"/>
          <w:sz w:val="22"/>
          <w:szCs w:val="22"/>
          <w:lang w:eastAsia="x-none"/>
        </w:rPr>
      </w:pPr>
      <w:r w:rsidRPr="00DB3B47">
        <w:rPr>
          <w:rFonts w:ascii="Arial" w:hAnsi="Arial" w:cs="Arial"/>
          <w:i/>
          <w:kern w:val="2"/>
          <w:sz w:val="22"/>
          <w:szCs w:val="22"/>
          <w:lang w:eastAsia="x-none"/>
        </w:rPr>
        <w:t xml:space="preserve">PBMC processing and cryopreservation- </w:t>
      </w:r>
      <w:r w:rsidRPr="00DB3B47">
        <w:rPr>
          <w:rFonts w:ascii="Arial" w:hAnsi="Arial" w:cs="Arial"/>
          <w:kern w:val="2"/>
          <w:sz w:val="22"/>
          <w:szCs w:val="22"/>
          <w:lang w:eastAsia="x-none"/>
        </w:rPr>
        <w:t xml:space="preserve">Whole blood undergoes a process of plasma separation followed by PBMC isolation using </w:t>
      </w:r>
      <w:proofErr w:type="spellStart"/>
      <w:r w:rsidRPr="00DB3B47">
        <w:rPr>
          <w:rFonts w:ascii="Arial" w:hAnsi="Arial" w:cs="Arial"/>
          <w:kern w:val="2"/>
          <w:sz w:val="22"/>
          <w:szCs w:val="22"/>
          <w:lang w:eastAsia="x-none"/>
        </w:rPr>
        <w:t>Ficoll</w:t>
      </w:r>
      <w:proofErr w:type="spellEnd"/>
      <w:r w:rsidRPr="00DB3B47">
        <w:rPr>
          <w:rFonts w:ascii="Arial" w:hAnsi="Arial" w:cs="Arial"/>
          <w:kern w:val="2"/>
          <w:sz w:val="22"/>
          <w:szCs w:val="22"/>
          <w:lang w:eastAsia="x-none"/>
        </w:rPr>
        <w:t xml:space="preserve">-Paque PLUS 1.077 g/mL density gradient media. PBMCs are isolated immediately upon arrival of samples by courier or drop off such that they are processed and cryopreserved within 6 hours of collection time. Trained laboratory staff undergo proficiency testing for cell yield per mL/blood and cell viability at monthly quarterly intervals. </w:t>
      </w:r>
    </w:p>
    <w:p w14:paraId="32557E5D" w14:textId="77777777" w:rsidR="00011F04" w:rsidRPr="00DB3B47" w:rsidRDefault="00011F04" w:rsidP="00651BD0">
      <w:pPr>
        <w:widowControl w:val="0"/>
        <w:numPr>
          <w:ilvl w:val="0"/>
          <w:numId w:val="43"/>
        </w:numPr>
        <w:snapToGrid w:val="0"/>
        <w:spacing w:after="120"/>
        <w:ind w:left="0" w:firstLine="0"/>
        <w:jc w:val="both"/>
        <w:rPr>
          <w:rFonts w:ascii="Arial" w:hAnsi="Arial" w:cs="Arial"/>
          <w:kern w:val="2"/>
          <w:sz w:val="22"/>
          <w:szCs w:val="22"/>
          <w:lang w:eastAsia="x-none"/>
        </w:rPr>
      </w:pPr>
      <w:r w:rsidRPr="00DB3B47">
        <w:rPr>
          <w:rFonts w:ascii="Arial" w:hAnsi="Arial" w:cs="Arial"/>
          <w:i/>
          <w:kern w:val="2"/>
          <w:sz w:val="22"/>
          <w:szCs w:val="22"/>
          <w:lang w:eastAsia="x-none"/>
        </w:rPr>
        <w:t xml:space="preserve">Enumeration of Interferon-γ Secreting Cells by ELISpot </w:t>
      </w:r>
      <w:r w:rsidRPr="00DB3B47">
        <w:rPr>
          <w:rFonts w:ascii="Arial" w:hAnsi="Arial" w:cs="Arial"/>
          <w:kern w:val="2"/>
          <w:sz w:val="22"/>
          <w:szCs w:val="22"/>
          <w:lang w:eastAsia="x-none"/>
        </w:rPr>
        <w:t>– Cellular immune responses against both the vector as well as the transgene may negatively impact on the safety and efficacy of gene therapy. Our validated ELISpot assay can identify this immune response to both vector and/or transgene and communicate the results back to the clinician in under 30 hours.</w:t>
      </w:r>
    </w:p>
    <w:p w14:paraId="14DD77A6" w14:textId="77777777" w:rsidR="00011F04" w:rsidRPr="00DB3B47" w:rsidRDefault="00011F04" w:rsidP="00651BD0">
      <w:pPr>
        <w:widowControl w:val="0"/>
        <w:numPr>
          <w:ilvl w:val="0"/>
          <w:numId w:val="43"/>
        </w:numPr>
        <w:snapToGrid w:val="0"/>
        <w:spacing w:after="120"/>
        <w:ind w:left="0" w:firstLine="0"/>
        <w:jc w:val="both"/>
        <w:rPr>
          <w:rFonts w:ascii="Arial" w:hAnsi="Arial" w:cs="Arial"/>
          <w:kern w:val="2"/>
          <w:sz w:val="22"/>
          <w:szCs w:val="22"/>
          <w:lang w:eastAsia="x-none"/>
        </w:rPr>
      </w:pPr>
      <w:r w:rsidRPr="00DB3B47">
        <w:rPr>
          <w:rFonts w:ascii="Arial" w:hAnsi="Arial" w:cs="Arial"/>
          <w:i/>
          <w:kern w:val="2"/>
          <w:sz w:val="22"/>
          <w:szCs w:val="22"/>
          <w:lang w:eastAsia="x-none"/>
        </w:rPr>
        <w:t>Anti-AAV Antibody Titer by ELISA</w:t>
      </w:r>
      <w:r w:rsidRPr="00DB3B47">
        <w:rPr>
          <w:rFonts w:ascii="Arial" w:hAnsi="Arial" w:cs="Arial"/>
          <w:kern w:val="2"/>
          <w:sz w:val="22"/>
          <w:szCs w:val="22"/>
          <w:lang w:eastAsia="x-none"/>
        </w:rPr>
        <w:t xml:space="preserve"> – Existing antibodies against AAV are a major challenge impacting efficacy of </w:t>
      </w:r>
      <w:r w:rsidRPr="00DB3B47">
        <w:rPr>
          <w:rFonts w:ascii="Arial" w:hAnsi="Arial" w:cs="Arial"/>
          <w:i/>
          <w:kern w:val="2"/>
          <w:sz w:val="22"/>
          <w:szCs w:val="22"/>
          <w:lang w:eastAsia="x-none"/>
        </w:rPr>
        <w:t xml:space="preserve">in vivo </w:t>
      </w:r>
      <w:r w:rsidRPr="00DB3B47">
        <w:rPr>
          <w:rFonts w:ascii="Arial" w:hAnsi="Arial" w:cs="Arial"/>
          <w:kern w:val="2"/>
          <w:sz w:val="22"/>
          <w:szCs w:val="22"/>
          <w:lang w:eastAsia="x-none"/>
        </w:rPr>
        <w:t xml:space="preserve">gene therapy. Our qualified ELISA assay can identify these preexisting antibodies as well as antibodies produced post therapy. </w:t>
      </w:r>
    </w:p>
    <w:p w14:paraId="0F43E82F" w14:textId="77777777" w:rsidR="00011F04" w:rsidRPr="00DB3B47" w:rsidRDefault="00011F04" w:rsidP="00651BD0">
      <w:pPr>
        <w:widowControl w:val="0"/>
        <w:numPr>
          <w:ilvl w:val="0"/>
          <w:numId w:val="43"/>
        </w:numPr>
        <w:snapToGrid w:val="0"/>
        <w:spacing w:after="120"/>
        <w:ind w:left="0" w:firstLine="0"/>
        <w:jc w:val="both"/>
        <w:rPr>
          <w:rFonts w:ascii="Arial" w:hAnsi="Arial" w:cs="Arial"/>
          <w:kern w:val="2"/>
          <w:sz w:val="22"/>
          <w:szCs w:val="22"/>
          <w:lang w:eastAsia="x-none"/>
        </w:rPr>
      </w:pPr>
      <w:r w:rsidRPr="00DB3B47">
        <w:rPr>
          <w:rFonts w:ascii="Arial" w:hAnsi="Arial" w:cs="Arial"/>
          <w:i/>
          <w:iCs/>
          <w:kern w:val="2"/>
          <w:sz w:val="22"/>
          <w:szCs w:val="22"/>
          <w:lang w:eastAsia="x-none"/>
        </w:rPr>
        <w:t xml:space="preserve">Immunophenotyping Service </w:t>
      </w:r>
      <w:r w:rsidRPr="00DB3B47">
        <w:rPr>
          <w:rFonts w:ascii="Arial" w:hAnsi="Arial" w:cs="Arial"/>
          <w:kern w:val="2"/>
          <w:sz w:val="22"/>
          <w:szCs w:val="22"/>
          <w:lang w:eastAsia="x-none"/>
        </w:rPr>
        <w:t xml:space="preserve">– (Human). Flow-based phenotypic characterization of peripheral blood cell lineages, including: CD4 T cells, CD8 T cells, activated HLADR+/CD38+ T cells, NKT cells, neutrophils, eosinophils, basophils, monocyte subsets (CD14/16), NK cell subsets (CD16/CD56), myeloid/ plasmacytoid dendritic cell subsets, and myeloid suppressor cells (PBMCs only). A clinically validated Sysmex automated cell </w:t>
      </w:r>
      <w:r w:rsidRPr="00DB3B47">
        <w:rPr>
          <w:rFonts w:ascii="Arial" w:hAnsi="Arial" w:cs="Arial"/>
          <w:kern w:val="2"/>
          <w:sz w:val="22"/>
          <w:szCs w:val="22"/>
          <w:lang w:eastAsia="x-none"/>
        </w:rPr>
        <w:lastRenderedPageBreak/>
        <w:t>counter is used to determine the number of cells/ µL for each lineage, based on the frequency of CD45+ cells. Tissue/Fluid lineage differential includes a complete dual platform enumeration of T cell (CD4/CD8), B cell, NKT, NK, Neutrophil, Eosinophil, Monocyte, and Macrophage.</w:t>
      </w:r>
    </w:p>
    <w:p w14:paraId="3B2F147D" w14:textId="77777777" w:rsidR="00011F04" w:rsidRPr="00DB3B47" w:rsidRDefault="00011F04" w:rsidP="00651BD0">
      <w:pPr>
        <w:widowControl w:val="0"/>
        <w:numPr>
          <w:ilvl w:val="0"/>
          <w:numId w:val="43"/>
        </w:numPr>
        <w:snapToGrid w:val="0"/>
        <w:spacing w:after="120"/>
        <w:ind w:left="0" w:firstLine="0"/>
        <w:jc w:val="both"/>
        <w:rPr>
          <w:rFonts w:ascii="Arial" w:hAnsi="Arial" w:cs="Arial"/>
          <w:kern w:val="2"/>
          <w:sz w:val="22"/>
          <w:szCs w:val="22"/>
          <w:lang w:eastAsia="x-none"/>
        </w:rPr>
      </w:pPr>
      <w:r w:rsidRPr="00DB3B47">
        <w:rPr>
          <w:rFonts w:ascii="Arial" w:hAnsi="Arial" w:cs="Arial"/>
          <w:i/>
          <w:kern w:val="2"/>
          <w:sz w:val="22"/>
          <w:szCs w:val="22"/>
          <w:lang w:eastAsia="x-none"/>
        </w:rPr>
        <w:t>Multiplex Cytokine Analysis (</w:t>
      </w:r>
      <w:proofErr w:type="spellStart"/>
      <w:r w:rsidRPr="00DB3B47">
        <w:rPr>
          <w:rFonts w:ascii="Arial" w:hAnsi="Arial" w:cs="Arial"/>
          <w:i/>
          <w:kern w:val="2"/>
          <w:sz w:val="22"/>
          <w:szCs w:val="22"/>
          <w:lang w:eastAsia="x-none"/>
        </w:rPr>
        <w:t>Bioplex</w:t>
      </w:r>
      <w:proofErr w:type="spellEnd"/>
      <w:r w:rsidRPr="00DB3B47">
        <w:rPr>
          <w:rFonts w:ascii="Arial" w:hAnsi="Arial" w:cs="Arial"/>
          <w:i/>
          <w:kern w:val="2"/>
          <w:sz w:val="22"/>
          <w:szCs w:val="22"/>
          <w:lang w:eastAsia="x-none"/>
        </w:rPr>
        <w:t xml:space="preserve">). </w:t>
      </w:r>
      <w:r w:rsidRPr="00DB3B47">
        <w:rPr>
          <w:rFonts w:ascii="Arial" w:hAnsi="Arial" w:cs="Arial"/>
          <w:kern w:val="2"/>
          <w:sz w:val="22"/>
          <w:szCs w:val="22"/>
          <w:lang w:eastAsia="x-none"/>
        </w:rPr>
        <w:t xml:space="preserve">Biological fluids (serum, plasma, urine, cell lysate) and or supernatants will undergo testing for a standard panel of analytes using the </w:t>
      </w:r>
      <w:proofErr w:type="spellStart"/>
      <w:r w:rsidRPr="00DB3B47">
        <w:rPr>
          <w:rFonts w:ascii="Arial" w:hAnsi="Arial" w:cs="Arial"/>
          <w:kern w:val="2"/>
          <w:sz w:val="22"/>
          <w:szCs w:val="22"/>
          <w:lang w:eastAsia="x-none"/>
        </w:rPr>
        <w:t>Bioplex</w:t>
      </w:r>
      <w:proofErr w:type="spellEnd"/>
      <w:r w:rsidRPr="00DB3B47">
        <w:rPr>
          <w:rFonts w:ascii="Arial" w:hAnsi="Arial" w:cs="Arial"/>
          <w:kern w:val="2"/>
          <w:sz w:val="22"/>
          <w:szCs w:val="22"/>
          <w:lang w:eastAsia="x-none"/>
        </w:rPr>
        <w:t xml:space="preserve"> 200 system. Samples are tested in duplicate with up to 38 samples/assay. We offer: Human Immunotherapy Panel, and Human Inflammation Panel.</w:t>
      </w:r>
    </w:p>
    <w:p w14:paraId="48F2BA3E" w14:textId="77777777" w:rsidR="00011F04" w:rsidRPr="00DB3B47" w:rsidRDefault="00011F04" w:rsidP="00651BD0">
      <w:pPr>
        <w:widowControl w:val="0"/>
        <w:numPr>
          <w:ilvl w:val="2"/>
          <w:numId w:val="36"/>
        </w:numPr>
        <w:snapToGrid w:val="0"/>
        <w:spacing w:after="120"/>
        <w:ind w:left="0" w:firstLine="0"/>
        <w:jc w:val="both"/>
        <w:rPr>
          <w:rFonts w:ascii="Arial" w:hAnsi="Arial" w:cs="Arial"/>
          <w:b/>
          <w:bCs/>
          <w:kern w:val="2"/>
          <w:sz w:val="22"/>
          <w:szCs w:val="22"/>
          <w:lang w:eastAsia="x-none"/>
        </w:rPr>
      </w:pPr>
      <w:r w:rsidRPr="00DB3B47">
        <w:rPr>
          <w:rFonts w:ascii="Arial" w:hAnsi="Arial" w:cs="Arial"/>
          <w:b/>
          <w:bCs/>
          <w:kern w:val="2"/>
          <w:sz w:val="22"/>
          <w:szCs w:val="22"/>
          <w:lang w:eastAsia="x-none"/>
        </w:rPr>
        <w:t>Good Manufacturing Practice (GMP) &amp; Viral Vector Core (VVC; now Andelyn Biosciences)</w:t>
      </w:r>
    </w:p>
    <w:p w14:paraId="22DFCA12"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 xml:space="preserve">The Abigail Wexner Research Institute’s GMP and VVC are now a separate corporation called </w:t>
      </w:r>
      <w:r w:rsidRPr="00DB3B47">
        <w:rPr>
          <w:rFonts w:ascii="Arial" w:hAnsi="Arial" w:cs="Arial"/>
          <w:bCs/>
          <w:kern w:val="2"/>
          <w:sz w:val="22"/>
          <w:szCs w:val="22"/>
          <w:lang w:eastAsia="x-none"/>
        </w:rPr>
        <w:t>Andelyn Biosciences.</w:t>
      </w:r>
      <w:r w:rsidRPr="00DB3B47">
        <w:rPr>
          <w:rFonts w:ascii="Arial" w:hAnsi="Arial" w:cs="Arial"/>
          <w:b/>
          <w:bCs/>
          <w:kern w:val="2"/>
          <w:sz w:val="22"/>
          <w:szCs w:val="22"/>
          <w:lang w:eastAsia="x-none"/>
        </w:rPr>
        <w:t xml:space="preserve"> </w:t>
      </w:r>
      <w:r w:rsidRPr="00DB3B47">
        <w:rPr>
          <w:rFonts w:ascii="Arial" w:hAnsi="Arial" w:cs="Arial"/>
          <w:kern w:val="2"/>
          <w:sz w:val="22"/>
          <w:szCs w:val="22"/>
          <w:lang w:eastAsia="x-none"/>
        </w:rPr>
        <w:t>Andelyn Biosciences is a Phase 3 compliant Good Manufacturing Practices (cGMP) clinical manufacturing facility producing materials for Phase 1, 2, and 3 gene therapy clinical studies for biotechnology and pharmaceutical industries around the world. In 2006, Nationwide Children’s physician-scientists collaborated with hospital and research institute leadership to create a GMP facility to produce viral vectors for gene therapy clinical trials. Having this resource accelerated the hospital’s gene therapy program. The Abigail Wexner Research Institute at Nationwide Children’s opened a larger cGMP Clinical Manufacturing Faculty (CMF) in 2017. Andelyn Biosciences is targeting 2022 for the completion of a new state-of-the-art cGMP manufacturing facility capable of early stage development through commercial scale production. The 200,000 square foot building will house 8 suites with capacity up to 2,000L SUB. Until then, all Andelyn labs and manufacturing suites are housed in the Abigail Wexner Research Institute at Nationwide Children’s. The clean room space is comprised of five production suites and has the capability to produce up to four different viral vector products simultaneously. The clean room space also includes dedicated areas for solution preparation and cell culture. Adeno-associated virus (AAV) gene therapy vectors are currently manufactured to ensure product safety, identity, purity and strength. The Quality Assurance Unit has facilitated numerous audits including audits to endorse regulatory requirements for Health Canada, the European Medicines Agency, and others. The company has expanded its capabilities to offer both adherent and suspension mode manufacturing up to 200L scale.</w:t>
      </w:r>
    </w:p>
    <w:p w14:paraId="0BD72E24" w14:textId="77777777" w:rsidR="00011F04" w:rsidRPr="00DB3B47" w:rsidRDefault="00011F04" w:rsidP="00651BD0">
      <w:pPr>
        <w:widowControl w:val="0"/>
        <w:numPr>
          <w:ilvl w:val="2"/>
          <w:numId w:val="36"/>
        </w:numPr>
        <w:snapToGrid w:val="0"/>
        <w:spacing w:after="120"/>
        <w:ind w:left="0" w:firstLine="0"/>
        <w:jc w:val="both"/>
        <w:rPr>
          <w:rFonts w:ascii="Arial" w:hAnsi="Arial" w:cs="Arial"/>
          <w:kern w:val="2"/>
          <w:sz w:val="22"/>
          <w:szCs w:val="22"/>
          <w:lang w:eastAsia="x-none"/>
        </w:rPr>
      </w:pPr>
      <w:r w:rsidRPr="00DB3B47">
        <w:rPr>
          <w:rFonts w:ascii="Arial" w:hAnsi="Arial" w:cs="Arial"/>
          <w:b/>
          <w:kern w:val="2"/>
          <w:sz w:val="22"/>
          <w:szCs w:val="22"/>
          <w:lang w:eastAsia="x-none"/>
        </w:rPr>
        <w:t xml:space="preserve">High Resolution Research Imaging </w:t>
      </w:r>
    </w:p>
    <w:p w14:paraId="5911D8BE"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The imaging core in RB II is part of the Animal Resource Core and occupies &gt;1,500 sq ft of space. This space is divided into two areas. The first area consists of three separate rooms for small animal imaging. The second area consists of three separate rooms for Rodent Nuclear Medicine (</w:t>
      </w:r>
      <w:proofErr w:type="spellStart"/>
      <w:r w:rsidRPr="00DB3B47">
        <w:rPr>
          <w:rFonts w:ascii="Arial" w:hAnsi="Arial" w:cs="Arial"/>
          <w:kern w:val="2"/>
          <w:sz w:val="22"/>
          <w:szCs w:val="22"/>
          <w:lang w:eastAsia="x-none"/>
        </w:rPr>
        <w:t>NucMed</w:t>
      </w:r>
      <w:proofErr w:type="spellEnd"/>
      <w:r w:rsidRPr="00DB3B47">
        <w:rPr>
          <w:rFonts w:ascii="Arial" w:hAnsi="Arial" w:cs="Arial"/>
          <w:kern w:val="2"/>
          <w:sz w:val="22"/>
          <w:szCs w:val="22"/>
          <w:lang w:eastAsia="x-none"/>
        </w:rPr>
        <w:t>) imaging. There is also a satellite imaging facility housed within the Research III animal facility. The Small Animal Imaging Core houses the following equipment:</w:t>
      </w:r>
    </w:p>
    <w:p w14:paraId="1CB4DDAC" w14:textId="77777777" w:rsidR="00011F04" w:rsidRPr="00DB3B47" w:rsidRDefault="00011F04" w:rsidP="00651BD0">
      <w:pPr>
        <w:widowControl w:val="0"/>
        <w:numPr>
          <w:ilvl w:val="0"/>
          <w:numId w:val="44"/>
        </w:numPr>
        <w:snapToGrid w:val="0"/>
        <w:spacing w:after="120"/>
        <w:ind w:left="0" w:firstLine="0"/>
        <w:jc w:val="both"/>
        <w:rPr>
          <w:rFonts w:ascii="Arial" w:hAnsi="Arial" w:cs="Arial"/>
          <w:kern w:val="2"/>
          <w:sz w:val="22"/>
          <w:szCs w:val="22"/>
          <w:lang w:eastAsia="x-none"/>
        </w:rPr>
      </w:pPr>
      <w:r w:rsidRPr="00DB3B47">
        <w:rPr>
          <w:rFonts w:ascii="Arial" w:hAnsi="Arial" w:cs="Arial"/>
          <w:kern w:val="2"/>
          <w:sz w:val="22"/>
          <w:szCs w:val="22"/>
          <w:lang w:eastAsia="x-none"/>
        </w:rPr>
        <w:t>Fujifilm FDR AQRO System- This is a complete mini-digital x-ray system capable of obtaining images of certain rodents and all large animal species within the vivarium. This system provides immediate image preview, dose tracking and exposure and deviation index features, in addition to a host of image manipulation and workflow tools.</w:t>
      </w:r>
    </w:p>
    <w:p w14:paraId="61A8D17F" w14:textId="77777777" w:rsidR="00011F04" w:rsidRPr="00DB3B47" w:rsidRDefault="00011F04" w:rsidP="00651BD0">
      <w:pPr>
        <w:widowControl w:val="0"/>
        <w:numPr>
          <w:ilvl w:val="0"/>
          <w:numId w:val="44"/>
        </w:numPr>
        <w:snapToGrid w:val="0"/>
        <w:spacing w:after="120"/>
        <w:ind w:left="0" w:firstLine="0"/>
        <w:jc w:val="both"/>
        <w:rPr>
          <w:rFonts w:ascii="Arial" w:hAnsi="Arial" w:cs="Arial"/>
          <w:kern w:val="2"/>
          <w:sz w:val="22"/>
          <w:szCs w:val="22"/>
          <w:lang w:eastAsia="x-none"/>
        </w:rPr>
      </w:pPr>
      <w:r w:rsidRPr="00DB3B47">
        <w:rPr>
          <w:rFonts w:ascii="Arial" w:hAnsi="Arial" w:cs="Arial"/>
          <w:kern w:val="2"/>
          <w:sz w:val="22"/>
          <w:szCs w:val="22"/>
          <w:lang w:eastAsia="x-none"/>
        </w:rPr>
        <w:t xml:space="preserve">Preclinical U-PET6 CT HR- The U-PET system can perform quantitative 3D functional imaging of PET tracers down to 0.55mm resolution. This system is integrated with the U-CT adaptive diagnostic CT system. The CT system is high-speed and can scan with ultra-low X-ray radiation doses. </w:t>
      </w:r>
    </w:p>
    <w:p w14:paraId="2479CFF4" w14:textId="77777777" w:rsidR="00011F04" w:rsidRPr="00DB3B47" w:rsidRDefault="00011F04" w:rsidP="00651BD0">
      <w:pPr>
        <w:widowControl w:val="0"/>
        <w:numPr>
          <w:ilvl w:val="0"/>
          <w:numId w:val="44"/>
        </w:numPr>
        <w:snapToGrid w:val="0"/>
        <w:spacing w:after="120"/>
        <w:ind w:left="0" w:firstLine="0"/>
        <w:jc w:val="both"/>
        <w:rPr>
          <w:rFonts w:ascii="Arial" w:hAnsi="Arial" w:cs="Arial"/>
          <w:kern w:val="2"/>
          <w:sz w:val="22"/>
          <w:szCs w:val="22"/>
          <w:lang w:eastAsia="x-none"/>
        </w:rPr>
      </w:pPr>
      <w:r w:rsidRPr="00DB3B47">
        <w:rPr>
          <w:rFonts w:ascii="Arial" w:hAnsi="Arial" w:cs="Arial"/>
          <w:kern w:val="2"/>
          <w:sz w:val="22"/>
          <w:szCs w:val="22"/>
          <w:lang w:eastAsia="x-none"/>
        </w:rPr>
        <w:t xml:space="preserve">GE OEC 9800 and 9900 C-arm – These units are clinically designed for a wide range of applications. Dose delivery insures the right image at the right dose. Each unit has a SmartView off-axis pivotal joint to allow for precise positioning along with multiple imaging modes for optimal image quality. Ideal usages vary from orthopedic to peripheral vascular studies. </w:t>
      </w:r>
    </w:p>
    <w:p w14:paraId="702B7CCF" w14:textId="77777777" w:rsidR="00011F04" w:rsidRPr="00DB3B47" w:rsidRDefault="00011F04" w:rsidP="00651BD0">
      <w:pPr>
        <w:widowControl w:val="0"/>
        <w:numPr>
          <w:ilvl w:val="0"/>
          <w:numId w:val="44"/>
        </w:numPr>
        <w:snapToGrid w:val="0"/>
        <w:spacing w:after="120"/>
        <w:ind w:left="0" w:firstLine="0"/>
        <w:jc w:val="both"/>
        <w:rPr>
          <w:rFonts w:ascii="Arial" w:hAnsi="Arial" w:cs="Arial"/>
          <w:kern w:val="2"/>
          <w:sz w:val="22"/>
          <w:szCs w:val="22"/>
          <w:lang w:eastAsia="x-none"/>
        </w:rPr>
      </w:pPr>
      <w:proofErr w:type="spellStart"/>
      <w:r w:rsidRPr="00DB3B47">
        <w:rPr>
          <w:rFonts w:ascii="Arial" w:hAnsi="Arial" w:cs="Arial"/>
          <w:kern w:val="2"/>
          <w:sz w:val="22"/>
          <w:szCs w:val="22"/>
          <w:lang w:eastAsia="x-none"/>
        </w:rPr>
        <w:t>Trifoil</w:t>
      </w:r>
      <w:proofErr w:type="spellEnd"/>
      <w:r w:rsidRPr="00DB3B47">
        <w:rPr>
          <w:rFonts w:ascii="Arial" w:hAnsi="Arial" w:cs="Arial"/>
          <w:kern w:val="2"/>
          <w:sz w:val="22"/>
          <w:szCs w:val="22"/>
          <w:lang w:eastAsia="x-none"/>
        </w:rPr>
        <w:t xml:space="preserve"> </w:t>
      </w:r>
      <w:proofErr w:type="spellStart"/>
      <w:r w:rsidRPr="00DB3B47">
        <w:rPr>
          <w:rFonts w:ascii="Arial" w:hAnsi="Arial" w:cs="Arial"/>
          <w:kern w:val="2"/>
          <w:sz w:val="22"/>
          <w:szCs w:val="22"/>
          <w:lang w:eastAsia="x-none"/>
        </w:rPr>
        <w:t>eXplore</w:t>
      </w:r>
      <w:proofErr w:type="spellEnd"/>
      <w:r w:rsidRPr="00DB3B47">
        <w:rPr>
          <w:rFonts w:ascii="Arial" w:hAnsi="Arial" w:cs="Arial"/>
          <w:kern w:val="2"/>
          <w:sz w:val="22"/>
          <w:szCs w:val="22"/>
          <w:lang w:eastAsia="x-none"/>
        </w:rPr>
        <w:t xml:space="preserve"> Locus Computed Tomography (</w:t>
      </w:r>
      <w:proofErr w:type="spellStart"/>
      <w:r w:rsidRPr="00DB3B47">
        <w:rPr>
          <w:rFonts w:ascii="Arial" w:hAnsi="Arial" w:cs="Arial"/>
          <w:kern w:val="2"/>
          <w:sz w:val="22"/>
          <w:szCs w:val="22"/>
          <w:lang w:eastAsia="x-none"/>
        </w:rPr>
        <w:t>microCT</w:t>
      </w:r>
      <w:proofErr w:type="spellEnd"/>
      <w:r w:rsidRPr="00DB3B47">
        <w:rPr>
          <w:rFonts w:ascii="Arial" w:hAnsi="Arial" w:cs="Arial"/>
          <w:kern w:val="2"/>
          <w:sz w:val="22"/>
          <w:szCs w:val="22"/>
          <w:lang w:eastAsia="x-none"/>
        </w:rPr>
        <w:t xml:space="preserve">) – This system provides high-resolution contrast noise-to-image quality and accurate 2D and 3D rendering with minimal x-ray dosage. There are three isotropic resolution settings (27, 45 and 95 µm) with a field of view up to 80mm in diameter. The GE </w:t>
      </w:r>
      <w:proofErr w:type="spellStart"/>
      <w:r w:rsidRPr="00DB3B47">
        <w:rPr>
          <w:rFonts w:ascii="Arial" w:hAnsi="Arial" w:cs="Arial"/>
          <w:kern w:val="2"/>
          <w:sz w:val="22"/>
          <w:szCs w:val="22"/>
          <w:lang w:eastAsia="x-none"/>
        </w:rPr>
        <w:t>MicroView</w:t>
      </w:r>
      <w:proofErr w:type="spellEnd"/>
      <w:r w:rsidRPr="00DB3B47">
        <w:rPr>
          <w:rFonts w:ascii="Arial" w:hAnsi="Arial" w:cs="Arial"/>
          <w:kern w:val="2"/>
          <w:sz w:val="22"/>
          <w:szCs w:val="22"/>
          <w:lang w:eastAsia="x-none"/>
        </w:rPr>
        <w:t xml:space="preserve"> software allows 3D reconstruction. Ideal usages include structural anatomy, bone studies, fat studies, and soft tissue studies with appropriate contrast reagents. </w:t>
      </w:r>
    </w:p>
    <w:p w14:paraId="4F6001BE" w14:textId="77777777" w:rsidR="00011F04" w:rsidRPr="00DB3B47" w:rsidRDefault="00011F04" w:rsidP="00651BD0">
      <w:pPr>
        <w:widowControl w:val="0"/>
        <w:numPr>
          <w:ilvl w:val="0"/>
          <w:numId w:val="44"/>
        </w:numPr>
        <w:snapToGrid w:val="0"/>
        <w:spacing w:after="120"/>
        <w:ind w:left="0" w:firstLine="0"/>
        <w:jc w:val="both"/>
        <w:rPr>
          <w:rFonts w:ascii="Arial" w:hAnsi="Arial" w:cs="Arial"/>
          <w:kern w:val="2"/>
          <w:sz w:val="22"/>
          <w:szCs w:val="22"/>
          <w:lang w:eastAsia="x-none"/>
        </w:rPr>
      </w:pPr>
      <w:proofErr w:type="spellStart"/>
      <w:r w:rsidRPr="00DB3B47">
        <w:rPr>
          <w:rFonts w:ascii="Arial" w:hAnsi="Arial" w:cs="Arial"/>
          <w:kern w:val="2"/>
          <w:sz w:val="22"/>
          <w:szCs w:val="22"/>
          <w:lang w:eastAsia="x-none"/>
        </w:rPr>
        <w:t>VisualSonics</w:t>
      </w:r>
      <w:proofErr w:type="spellEnd"/>
      <w:r w:rsidRPr="00DB3B47">
        <w:rPr>
          <w:rFonts w:ascii="Arial" w:hAnsi="Arial" w:cs="Arial"/>
          <w:kern w:val="2"/>
          <w:sz w:val="22"/>
          <w:szCs w:val="22"/>
          <w:lang w:eastAsia="x-none"/>
        </w:rPr>
        <w:t xml:space="preserve"> Vevo2100 Ultrasound (2 units) – A non-invasive ultrasound unit that possesses multiple transducer heads ideal for visualization of most anatomic structures in small to medium sized rodents. It can produce resolutions down to 30 µm. The M-Mode capture and analysis software enables the characterization of vessel, heart dynamic and wall thickening. Tissue Doppler imaging (TDI) is used for assessing diastolic </w:t>
      </w:r>
      <w:r w:rsidRPr="00DB3B47">
        <w:rPr>
          <w:rFonts w:ascii="Arial" w:hAnsi="Arial" w:cs="Arial"/>
          <w:kern w:val="2"/>
          <w:sz w:val="22"/>
          <w:szCs w:val="22"/>
          <w:lang w:eastAsia="x-none"/>
        </w:rPr>
        <w:lastRenderedPageBreak/>
        <w:t xml:space="preserve">dysfunction and myocardial strain. Pulsed Wave Doppler enables assessment of quantitative blood flow velocity and waveform measurements. Color Doppler allows the visualization and quantification of neovascularization around tumors/organs. This system is ideal for anatomic assessment, functional cardiology applications, and vascular development during tumor growth. </w:t>
      </w:r>
    </w:p>
    <w:p w14:paraId="312FA945" w14:textId="77777777" w:rsidR="00011F04" w:rsidRPr="00DB3B47" w:rsidRDefault="00011F04" w:rsidP="00651BD0">
      <w:pPr>
        <w:widowControl w:val="0"/>
        <w:numPr>
          <w:ilvl w:val="0"/>
          <w:numId w:val="44"/>
        </w:numPr>
        <w:snapToGrid w:val="0"/>
        <w:spacing w:after="120"/>
        <w:ind w:left="0" w:firstLine="0"/>
        <w:jc w:val="both"/>
        <w:rPr>
          <w:rFonts w:ascii="Arial" w:hAnsi="Arial" w:cs="Arial"/>
          <w:kern w:val="2"/>
          <w:sz w:val="22"/>
          <w:szCs w:val="22"/>
          <w:lang w:eastAsia="x-none"/>
        </w:rPr>
      </w:pPr>
      <w:proofErr w:type="spellStart"/>
      <w:r w:rsidRPr="00DB3B47">
        <w:rPr>
          <w:rFonts w:ascii="Arial" w:hAnsi="Arial" w:cs="Arial"/>
          <w:kern w:val="2"/>
          <w:sz w:val="22"/>
          <w:szCs w:val="22"/>
          <w:lang w:eastAsia="x-none"/>
        </w:rPr>
        <w:t>Faxitron</w:t>
      </w:r>
      <w:proofErr w:type="spellEnd"/>
      <w:r w:rsidRPr="00DB3B47">
        <w:rPr>
          <w:rFonts w:ascii="Arial" w:hAnsi="Arial" w:cs="Arial"/>
          <w:kern w:val="2"/>
          <w:sz w:val="22"/>
          <w:szCs w:val="22"/>
          <w:lang w:eastAsia="x-none"/>
        </w:rPr>
        <w:t xml:space="preserve"> MX-20 Digital Cabinet X-Ray – Provides high-resolution digital imaging with up to 5x additional geometric magnification providing, ultra-high-contrast and high spatial resolution images. It provides 2D digital images of resolutions down to 20 µm across a specimen-imaging field of 12 cm x 12 cm. Ideally used for static 2D images of skeletal structure and integrity. </w:t>
      </w:r>
    </w:p>
    <w:p w14:paraId="0C7D8E57" w14:textId="77777777" w:rsidR="00011F04" w:rsidRPr="00DB3B47" w:rsidRDefault="00011F04" w:rsidP="00651BD0">
      <w:pPr>
        <w:widowControl w:val="0"/>
        <w:numPr>
          <w:ilvl w:val="0"/>
          <w:numId w:val="44"/>
        </w:numPr>
        <w:snapToGrid w:val="0"/>
        <w:spacing w:after="120"/>
        <w:ind w:left="0" w:firstLine="0"/>
        <w:jc w:val="both"/>
        <w:rPr>
          <w:rFonts w:ascii="Arial" w:hAnsi="Arial" w:cs="Arial"/>
          <w:kern w:val="2"/>
          <w:sz w:val="22"/>
          <w:szCs w:val="22"/>
          <w:lang w:eastAsia="x-none"/>
        </w:rPr>
      </w:pPr>
      <w:proofErr w:type="spellStart"/>
      <w:r w:rsidRPr="00DB3B47">
        <w:rPr>
          <w:rFonts w:ascii="Arial" w:hAnsi="Arial" w:cs="Arial"/>
          <w:kern w:val="2"/>
          <w:sz w:val="22"/>
          <w:szCs w:val="22"/>
          <w:lang w:eastAsia="x-none"/>
        </w:rPr>
        <w:t>Lightools</w:t>
      </w:r>
      <w:proofErr w:type="spellEnd"/>
      <w:r w:rsidRPr="00DB3B47">
        <w:rPr>
          <w:rFonts w:ascii="Arial" w:hAnsi="Arial" w:cs="Arial"/>
          <w:kern w:val="2"/>
          <w:sz w:val="22"/>
          <w:szCs w:val="22"/>
          <w:lang w:eastAsia="x-none"/>
        </w:rPr>
        <w:t xml:space="preserve"> 3D Pan-A-See System – Permits simultaneous optical imaging of two fluorophores from three sides and includes filters for blue, green, yellow, red, and far-red imaging. For imaging the incorporation of two separate chemical or protein products in a single image permitting 3D multicolor biofluorescence imaging in small animals and for following tumor growth and development in mouse models. </w:t>
      </w:r>
    </w:p>
    <w:p w14:paraId="47CA6404" w14:textId="77777777" w:rsidR="00011F04" w:rsidRPr="00DB3B47" w:rsidRDefault="00011F04" w:rsidP="00651BD0">
      <w:pPr>
        <w:widowControl w:val="0"/>
        <w:numPr>
          <w:ilvl w:val="0"/>
          <w:numId w:val="44"/>
        </w:numPr>
        <w:snapToGrid w:val="0"/>
        <w:spacing w:after="120"/>
        <w:ind w:left="0" w:firstLine="0"/>
        <w:jc w:val="both"/>
        <w:rPr>
          <w:rFonts w:ascii="Arial" w:hAnsi="Arial" w:cs="Arial"/>
          <w:kern w:val="2"/>
          <w:sz w:val="22"/>
          <w:szCs w:val="22"/>
          <w:lang w:eastAsia="x-none"/>
        </w:rPr>
      </w:pPr>
      <w:r w:rsidRPr="00DB3B47">
        <w:rPr>
          <w:rFonts w:ascii="Arial" w:hAnsi="Arial" w:cs="Arial"/>
          <w:kern w:val="2"/>
          <w:sz w:val="22"/>
          <w:szCs w:val="22"/>
          <w:lang w:eastAsia="x-none"/>
        </w:rPr>
        <w:t xml:space="preserve">Leica Fluorescence Dissecting Microscope – Permits optical imaging of a single fluorophore. There are four filter set positions for blue, green, yellow, and red imaging showing a 3D view of the specimen/animal at a relatively low magnification. Ideally used for noninvasive/specimen molecular imaging. </w:t>
      </w:r>
    </w:p>
    <w:p w14:paraId="3A6BC113" w14:textId="77777777" w:rsidR="00011F04" w:rsidRPr="00DB3B47" w:rsidRDefault="00011F04" w:rsidP="00651BD0">
      <w:pPr>
        <w:widowControl w:val="0"/>
        <w:numPr>
          <w:ilvl w:val="0"/>
          <w:numId w:val="44"/>
        </w:numPr>
        <w:snapToGrid w:val="0"/>
        <w:spacing w:after="120"/>
        <w:ind w:left="0" w:firstLine="0"/>
        <w:jc w:val="both"/>
        <w:rPr>
          <w:rFonts w:ascii="Arial" w:hAnsi="Arial" w:cs="Arial"/>
          <w:kern w:val="2"/>
          <w:sz w:val="22"/>
          <w:szCs w:val="22"/>
          <w:lang w:eastAsia="x-none"/>
        </w:rPr>
      </w:pPr>
      <w:proofErr w:type="spellStart"/>
      <w:r w:rsidRPr="00DB3B47">
        <w:rPr>
          <w:rFonts w:ascii="Arial" w:hAnsi="Arial" w:cs="Arial"/>
          <w:kern w:val="2"/>
          <w:sz w:val="22"/>
          <w:szCs w:val="22"/>
          <w:lang w:eastAsia="x-none"/>
        </w:rPr>
        <w:t>Xenogen</w:t>
      </w:r>
      <w:proofErr w:type="spellEnd"/>
      <w:r w:rsidRPr="00DB3B47">
        <w:rPr>
          <w:rFonts w:ascii="Arial" w:hAnsi="Arial" w:cs="Arial"/>
          <w:kern w:val="2"/>
          <w:sz w:val="22"/>
          <w:szCs w:val="22"/>
          <w:lang w:eastAsia="x-none"/>
        </w:rPr>
        <w:t xml:space="preserve"> IVIS Spectrum – Performs bioluminescence, reflectance fluorescence, and transmission fluorescence in 2D and 3D imaging and covers nearly the entire visible electromagnetic spectrum, ideal for noninvasive quantitative molecular imaging. </w:t>
      </w:r>
    </w:p>
    <w:p w14:paraId="52DAC4A7" w14:textId="77777777" w:rsidR="00011F04" w:rsidRPr="00DB3B47" w:rsidRDefault="00011F04" w:rsidP="00651BD0">
      <w:pPr>
        <w:widowControl w:val="0"/>
        <w:numPr>
          <w:ilvl w:val="0"/>
          <w:numId w:val="44"/>
        </w:numPr>
        <w:snapToGrid w:val="0"/>
        <w:spacing w:after="120"/>
        <w:ind w:left="0" w:firstLine="0"/>
        <w:jc w:val="both"/>
        <w:rPr>
          <w:rFonts w:ascii="Arial" w:hAnsi="Arial" w:cs="Arial"/>
          <w:kern w:val="2"/>
          <w:sz w:val="22"/>
          <w:szCs w:val="22"/>
          <w:lang w:eastAsia="x-none"/>
        </w:rPr>
      </w:pPr>
      <w:proofErr w:type="spellStart"/>
      <w:r w:rsidRPr="00DB3B47">
        <w:rPr>
          <w:rFonts w:ascii="Arial" w:hAnsi="Arial" w:cs="Arial"/>
          <w:kern w:val="2"/>
          <w:sz w:val="22"/>
          <w:szCs w:val="22"/>
          <w:lang w:eastAsia="x-none"/>
        </w:rPr>
        <w:t>Labscope</w:t>
      </w:r>
      <w:proofErr w:type="spellEnd"/>
      <w:r w:rsidRPr="00DB3B47">
        <w:rPr>
          <w:rFonts w:ascii="Arial" w:hAnsi="Arial" w:cs="Arial"/>
          <w:kern w:val="2"/>
          <w:sz w:val="22"/>
          <w:szCs w:val="22"/>
          <w:lang w:eastAsia="x-none"/>
        </w:rPr>
        <w:t xml:space="preserve"> Magnification Micro-fluoroscope – A high performance micro-focus magnifying fluoroscopic system. It utilizes a 10 µm focal spot x-ray source that allows for magnifications as high as 25x as viewed on the monitor. It combines image-processing capabilities into one single operation and provides great use for orthopedic research. </w:t>
      </w:r>
    </w:p>
    <w:p w14:paraId="2DB710D6" w14:textId="77777777" w:rsidR="00011F04" w:rsidRPr="00DB3B47" w:rsidRDefault="00011F04" w:rsidP="00651BD0">
      <w:pPr>
        <w:widowControl w:val="0"/>
        <w:numPr>
          <w:ilvl w:val="0"/>
          <w:numId w:val="44"/>
        </w:numPr>
        <w:snapToGrid w:val="0"/>
        <w:spacing w:after="120"/>
        <w:ind w:left="0" w:firstLine="0"/>
        <w:jc w:val="both"/>
        <w:rPr>
          <w:rFonts w:ascii="Arial" w:hAnsi="Arial" w:cs="Arial"/>
          <w:kern w:val="2"/>
          <w:sz w:val="22"/>
          <w:szCs w:val="22"/>
          <w:lang w:eastAsia="x-none"/>
        </w:rPr>
      </w:pPr>
      <w:r w:rsidRPr="00DB3B47">
        <w:rPr>
          <w:rFonts w:ascii="Arial" w:hAnsi="Arial" w:cs="Arial"/>
          <w:kern w:val="2"/>
          <w:sz w:val="22"/>
          <w:szCs w:val="22"/>
          <w:lang w:eastAsia="x-none"/>
        </w:rPr>
        <w:t xml:space="preserve">X-RAD 320 X-ray Irradiator – 320kVp orthovoltage energy self-contained unit capable of delivering precision radiation doses to biological specimens and small laboratory animals. </w:t>
      </w:r>
    </w:p>
    <w:p w14:paraId="630DB73C" w14:textId="77777777" w:rsidR="00011F04" w:rsidRPr="00DB3B47" w:rsidRDefault="00011F04" w:rsidP="00651BD0">
      <w:pPr>
        <w:widowControl w:val="0"/>
        <w:numPr>
          <w:ilvl w:val="0"/>
          <w:numId w:val="44"/>
        </w:numPr>
        <w:snapToGrid w:val="0"/>
        <w:spacing w:after="120"/>
        <w:ind w:left="0" w:firstLine="0"/>
        <w:jc w:val="both"/>
        <w:rPr>
          <w:rFonts w:ascii="Arial" w:hAnsi="Arial" w:cs="Arial"/>
          <w:kern w:val="2"/>
          <w:sz w:val="22"/>
          <w:szCs w:val="22"/>
          <w:lang w:eastAsia="x-none"/>
        </w:rPr>
      </w:pPr>
      <w:r w:rsidRPr="00DB3B47">
        <w:rPr>
          <w:rFonts w:ascii="Arial" w:hAnsi="Arial" w:cs="Arial"/>
          <w:kern w:val="2"/>
          <w:sz w:val="22"/>
          <w:szCs w:val="22"/>
          <w:lang w:eastAsia="x-none"/>
        </w:rPr>
        <w:t xml:space="preserve">Transonic Flow Unit – This unit is a 400 series ultrasonic, full-flow illumination transit-time modular flowmeter system with an operational ultrasonic frequency range of 600 </w:t>
      </w:r>
      <w:proofErr w:type="spellStart"/>
      <w:r w:rsidRPr="00DB3B47">
        <w:rPr>
          <w:rFonts w:ascii="Arial" w:hAnsi="Arial" w:cs="Arial"/>
          <w:kern w:val="2"/>
          <w:sz w:val="22"/>
          <w:szCs w:val="22"/>
          <w:lang w:eastAsia="x-none"/>
        </w:rPr>
        <w:t>KHz</w:t>
      </w:r>
      <w:proofErr w:type="spellEnd"/>
      <w:r w:rsidRPr="00DB3B47">
        <w:rPr>
          <w:rFonts w:ascii="Arial" w:hAnsi="Arial" w:cs="Arial"/>
          <w:kern w:val="2"/>
          <w:sz w:val="22"/>
          <w:szCs w:val="22"/>
          <w:lang w:eastAsia="x-none"/>
        </w:rPr>
        <w:t xml:space="preserve"> to 14.4 </w:t>
      </w:r>
      <w:proofErr w:type="spellStart"/>
      <w:r w:rsidRPr="00DB3B47">
        <w:rPr>
          <w:rFonts w:ascii="Arial" w:hAnsi="Arial" w:cs="Arial"/>
          <w:kern w:val="2"/>
          <w:sz w:val="22"/>
          <w:szCs w:val="22"/>
          <w:lang w:eastAsia="x-none"/>
        </w:rPr>
        <w:t>MHz.</w:t>
      </w:r>
      <w:proofErr w:type="spellEnd"/>
      <w:r w:rsidRPr="00DB3B47">
        <w:rPr>
          <w:rFonts w:ascii="Arial" w:hAnsi="Arial" w:cs="Arial"/>
          <w:kern w:val="2"/>
          <w:sz w:val="22"/>
          <w:szCs w:val="22"/>
          <w:lang w:eastAsia="x-none"/>
        </w:rPr>
        <w:t xml:space="preserve"> This system measures volume flow of all aqueous solutions including blood, water, buffer solutions and blood analogs using Transonic Precision </w:t>
      </w:r>
      <w:proofErr w:type="spellStart"/>
      <w:r w:rsidRPr="00DB3B47">
        <w:rPr>
          <w:rFonts w:ascii="Arial" w:hAnsi="Arial" w:cs="Arial"/>
          <w:kern w:val="2"/>
          <w:sz w:val="22"/>
          <w:szCs w:val="22"/>
          <w:lang w:eastAsia="x-none"/>
        </w:rPr>
        <w:t>flowprobes</w:t>
      </w:r>
      <w:proofErr w:type="spellEnd"/>
      <w:r w:rsidRPr="00DB3B47">
        <w:rPr>
          <w:rFonts w:ascii="Arial" w:hAnsi="Arial" w:cs="Arial"/>
          <w:kern w:val="2"/>
          <w:sz w:val="22"/>
          <w:szCs w:val="22"/>
          <w:lang w:eastAsia="x-none"/>
        </w:rPr>
        <w:t xml:space="preserve"> on vessels with Perivascular </w:t>
      </w:r>
      <w:proofErr w:type="spellStart"/>
      <w:r w:rsidRPr="00DB3B47">
        <w:rPr>
          <w:rFonts w:ascii="Arial" w:hAnsi="Arial" w:cs="Arial"/>
          <w:kern w:val="2"/>
          <w:sz w:val="22"/>
          <w:szCs w:val="22"/>
          <w:lang w:eastAsia="x-none"/>
        </w:rPr>
        <w:t>Flowprobes</w:t>
      </w:r>
      <w:proofErr w:type="spellEnd"/>
      <w:r w:rsidRPr="00DB3B47">
        <w:rPr>
          <w:rFonts w:ascii="Arial" w:hAnsi="Arial" w:cs="Arial"/>
          <w:kern w:val="2"/>
          <w:sz w:val="22"/>
          <w:szCs w:val="22"/>
          <w:lang w:eastAsia="x-none"/>
        </w:rPr>
        <w:t xml:space="preserve"> or in tubing with Clamp-on or Inline </w:t>
      </w:r>
      <w:proofErr w:type="spellStart"/>
      <w:r w:rsidRPr="00DB3B47">
        <w:rPr>
          <w:rFonts w:ascii="Arial" w:hAnsi="Arial" w:cs="Arial"/>
          <w:kern w:val="2"/>
          <w:sz w:val="22"/>
          <w:szCs w:val="22"/>
          <w:lang w:eastAsia="x-none"/>
        </w:rPr>
        <w:t>Flowsensors</w:t>
      </w:r>
      <w:proofErr w:type="spellEnd"/>
      <w:r w:rsidRPr="00DB3B47">
        <w:rPr>
          <w:rFonts w:ascii="Arial" w:hAnsi="Arial" w:cs="Arial"/>
          <w:kern w:val="2"/>
          <w:sz w:val="22"/>
          <w:szCs w:val="22"/>
          <w:lang w:eastAsia="x-none"/>
        </w:rPr>
        <w:t xml:space="preserve">. There are two TS420 Flow modules with a variety of </w:t>
      </w:r>
      <w:proofErr w:type="spellStart"/>
      <w:r w:rsidRPr="00DB3B47">
        <w:rPr>
          <w:rFonts w:ascii="Arial" w:hAnsi="Arial" w:cs="Arial"/>
          <w:kern w:val="2"/>
          <w:sz w:val="22"/>
          <w:szCs w:val="22"/>
          <w:lang w:eastAsia="x-none"/>
        </w:rPr>
        <w:t>flowprobes</w:t>
      </w:r>
      <w:proofErr w:type="spellEnd"/>
      <w:r w:rsidRPr="00DB3B47">
        <w:rPr>
          <w:rFonts w:ascii="Arial" w:hAnsi="Arial" w:cs="Arial"/>
          <w:kern w:val="2"/>
          <w:sz w:val="22"/>
          <w:szCs w:val="22"/>
          <w:lang w:eastAsia="x-none"/>
        </w:rPr>
        <w:t xml:space="preserve"> available for large or small animal use. This unit can provide waveform quality and resolution.</w:t>
      </w:r>
    </w:p>
    <w:p w14:paraId="203B5C4E" w14:textId="77777777" w:rsidR="00011F04" w:rsidRPr="00DB3B47" w:rsidRDefault="00011F04" w:rsidP="00651BD0">
      <w:pPr>
        <w:widowControl w:val="0"/>
        <w:numPr>
          <w:ilvl w:val="2"/>
          <w:numId w:val="36"/>
        </w:numPr>
        <w:snapToGrid w:val="0"/>
        <w:spacing w:after="120"/>
        <w:ind w:left="0" w:firstLine="0"/>
        <w:jc w:val="both"/>
        <w:rPr>
          <w:rFonts w:ascii="Arial" w:hAnsi="Arial" w:cs="Arial"/>
          <w:kern w:val="2"/>
          <w:sz w:val="22"/>
          <w:szCs w:val="22"/>
          <w:lang w:eastAsia="x-none"/>
        </w:rPr>
      </w:pPr>
      <w:r w:rsidRPr="00DB3B47">
        <w:rPr>
          <w:rFonts w:ascii="Arial" w:hAnsi="Arial" w:cs="Arial"/>
          <w:b/>
          <w:iCs/>
          <w:kern w:val="2"/>
          <w:sz w:val="22"/>
          <w:szCs w:val="22"/>
          <w:lang w:val="en" w:eastAsia="x-none"/>
        </w:rPr>
        <w:t xml:space="preserve">Morphology Core - </w:t>
      </w:r>
      <w:r w:rsidRPr="00DB3B47">
        <w:rPr>
          <w:rFonts w:ascii="Arial" w:hAnsi="Arial" w:cs="Arial"/>
          <w:kern w:val="2"/>
          <w:sz w:val="22"/>
          <w:szCs w:val="22"/>
          <w:lang w:eastAsia="x-none"/>
        </w:rPr>
        <w:t xml:space="preserve">provides services in histology, electron microscopy (EM), Atomic Force microscopy, confocal microscopy, and laser dissection microscopy. </w:t>
      </w:r>
    </w:p>
    <w:p w14:paraId="2050D835" w14:textId="77777777" w:rsidR="00011F04" w:rsidRPr="00DB3B47" w:rsidRDefault="00011F04" w:rsidP="00DB3B47">
      <w:pPr>
        <w:widowControl w:val="0"/>
        <w:snapToGrid w:val="0"/>
        <w:spacing w:after="120"/>
        <w:jc w:val="both"/>
        <w:rPr>
          <w:rFonts w:ascii="Arial" w:hAnsi="Arial" w:cs="Arial"/>
          <w:kern w:val="2"/>
          <w:sz w:val="22"/>
          <w:szCs w:val="22"/>
          <w:lang w:eastAsia="x-none"/>
        </w:rPr>
      </w:pPr>
      <w:r w:rsidRPr="00DB3B47">
        <w:rPr>
          <w:rFonts w:ascii="Arial" w:hAnsi="Arial" w:cs="Arial"/>
          <w:kern w:val="2"/>
          <w:sz w:val="22"/>
          <w:szCs w:val="22"/>
          <w:lang w:eastAsia="x-none"/>
        </w:rPr>
        <w:t xml:space="preserve">The histology section of the core is CAP accredited. It provides basic services such as tissue preparation and embedding, paraffin block or frozen tissue sectioning, and H&amp;E staining. The core provides additional services such as direct and indirect immunohistochemical staining, serial sectioning, RNase free handling, and selected special stains. Core personnel have extensive experience in tissue microarray construction. The lab is equipped with a Perkin-Elmer TMA Master automated TMA </w:t>
      </w:r>
      <w:proofErr w:type="spellStart"/>
      <w:r w:rsidRPr="00DB3B47">
        <w:rPr>
          <w:rFonts w:ascii="Arial" w:hAnsi="Arial" w:cs="Arial"/>
          <w:kern w:val="2"/>
          <w:sz w:val="22"/>
          <w:szCs w:val="22"/>
          <w:lang w:eastAsia="x-none"/>
        </w:rPr>
        <w:t>arrayer</w:t>
      </w:r>
      <w:proofErr w:type="spellEnd"/>
      <w:r w:rsidRPr="00DB3B47">
        <w:rPr>
          <w:rFonts w:ascii="Arial" w:hAnsi="Arial" w:cs="Arial"/>
          <w:kern w:val="2"/>
          <w:sz w:val="22"/>
          <w:szCs w:val="22"/>
          <w:lang w:eastAsia="x-none"/>
        </w:rPr>
        <w:t xml:space="preserve"> as well as two MTA-1 manual Beecher TMA </w:t>
      </w:r>
      <w:proofErr w:type="spellStart"/>
      <w:r w:rsidRPr="00DB3B47">
        <w:rPr>
          <w:rFonts w:ascii="Arial" w:hAnsi="Arial" w:cs="Arial"/>
          <w:kern w:val="2"/>
          <w:sz w:val="22"/>
          <w:szCs w:val="22"/>
          <w:lang w:eastAsia="x-none"/>
        </w:rPr>
        <w:t>arrayers</w:t>
      </w:r>
      <w:proofErr w:type="spellEnd"/>
      <w:r w:rsidRPr="00DB3B47">
        <w:rPr>
          <w:rFonts w:ascii="Arial" w:hAnsi="Arial" w:cs="Arial"/>
          <w:kern w:val="2"/>
          <w:sz w:val="22"/>
          <w:szCs w:val="22"/>
          <w:lang w:eastAsia="x-none"/>
        </w:rPr>
        <w:t xml:space="preserve">. Routine TEM procedures such as fixation, embedding, sectioning, and visualization are available. The core utilizes a Hitachi H-7650 Transmission Electron Microscope (TEM) with two digital cameras. The Hitachi H-7650 transmission electron microscope allows imaging of tissue prepared for routine TEM. Magnification ranges from 0.7K up to 200K. The imaging software is AMtv542. Scanning electron microscopy is also available. The core houses a Hitachi S-4800 high resolution Scanning Electron Microscope (SEM). This microscope has magnification from 30x to 800,000x. </w:t>
      </w:r>
    </w:p>
    <w:p w14:paraId="588321C0" w14:textId="77777777" w:rsidR="00011F04" w:rsidRPr="00011F04" w:rsidRDefault="00011F04" w:rsidP="00DB3B47">
      <w:pPr>
        <w:widowControl w:val="0"/>
        <w:snapToGrid w:val="0"/>
        <w:spacing w:after="120"/>
        <w:jc w:val="both"/>
        <w:rPr>
          <w:rFonts w:ascii="Arial" w:hAnsi="Arial" w:cs="Arial"/>
          <w:kern w:val="2"/>
          <w:sz w:val="22"/>
          <w:szCs w:val="22"/>
          <w:lang w:eastAsia="x-none"/>
        </w:rPr>
      </w:pPr>
      <w:r w:rsidRPr="00011F04">
        <w:rPr>
          <w:rFonts w:ascii="Arial" w:hAnsi="Arial" w:cs="Arial"/>
          <w:kern w:val="2"/>
          <w:sz w:val="22"/>
          <w:szCs w:val="22"/>
          <w:lang w:eastAsia="x-none"/>
        </w:rPr>
        <w:t xml:space="preserve">The core has two confocal microscopes: The LSM 700 has 2 fluorescence detectors that can detect up to four color signals in a (quasi-) simultaneous mode. Other applications include time series image acquisition, co-localization, FRET analysis, ROI bleaching, and orthogonal viewing of images. The 700 has 4 lasers: 405nm, 488nm, 546nm, and 633nm. The ZEISS LSM 800 provides high image quality and offers enhanced productivity and throughput, as well as greater flexibility in live cell imaging. It has a highly sensitive </w:t>
      </w:r>
      <w:proofErr w:type="spellStart"/>
      <w:r w:rsidRPr="00011F04">
        <w:rPr>
          <w:rFonts w:ascii="Arial" w:hAnsi="Arial" w:cs="Arial"/>
          <w:kern w:val="2"/>
          <w:sz w:val="22"/>
          <w:szCs w:val="22"/>
          <w:lang w:eastAsia="x-none"/>
        </w:rPr>
        <w:t>GaAsP</w:t>
      </w:r>
      <w:proofErr w:type="spellEnd"/>
      <w:r w:rsidRPr="00011F04">
        <w:rPr>
          <w:rFonts w:ascii="Arial" w:hAnsi="Arial" w:cs="Arial"/>
          <w:kern w:val="2"/>
          <w:sz w:val="22"/>
          <w:szCs w:val="22"/>
          <w:lang w:eastAsia="x-none"/>
        </w:rPr>
        <w:t xml:space="preserve"> detector technology and fast linear scanning. Gallium arsenide phosphide photomultiplier tubes (</w:t>
      </w:r>
      <w:proofErr w:type="spellStart"/>
      <w:r w:rsidRPr="00011F04">
        <w:rPr>
          <w:rFonts w:ascii="Arial" w:hAnsi="Arial" w:cs="Arial"/>
          <w:kern w:val="2"/>
          <w:sz w:val="22"/>
          <w:szCs w:val="22"/>
          <w:lang w:eastAsia="x-none"/>
        </w:rPr>
        <w:t>GaAsP</w:t>
      </w:r>
      <w:proofErr w:type="spellEnd"/>
      <w:r w:rsidRPr="00011F04">
        <w:rPr>
          <w:rFonts w:ascii="Arial" w:hAnsi="Arial" w:cs="Arial"/>
          <w:kern w:val="2"/>
          <w:sz w:val="22"/>
          <w:szCs w:val="22"/>
          <w:lang w:eastAsia="x-none"/>
        </w:rPr>
        <w:t xml:space="preserve"> PMTs) display high light collection efficiencies over a broad spectral range. The gain in signal-to-noise ratio (SNR) increases its productivity by achieving faster scan speeds while preserving high image quality. The </w:t>
      </w:r>
      <w:proofErr w:type="spellStart"/>
      <w:r w:rsidRPr="00011F04">
        <w:rPr>
          <w:rFonts w:ascii="Arial" w:hAnsi="Arial" w:cs="Arial"/>
          <w:kern w:val="2"/>
          <w:sz w:val="22"/>
          <w:szCs w:val="22"/>
          <w:lang w:eastAsia="x-none"/>
        </w:rPr>
        <w:t>Airyscan</w:t>
      </w:r>
      <w:proofErr w:type="spellEnd"/>
      <w:r w:rsidRPr="00011F04">
        <w:rPr>
          <w:rFonts w:ascii="Arial" w:hAnsi="Arial" w:cs="Arial"/>
          <w:kern w:val="2"/>
          <w:sz w:val="22"/>
          <w:szCs w:val="22"/>
          <w:lang w:eastAsia="x-none"/>
        </w:rPr>
        <w:t xml:space="preserve"> module </w:t>
      </w:r>
      <w:r w:rsidRPr="00011F04">
        <w:rPr>
          <w:rFonts w:ascii="Arial" w:hAnsi="Arial" w:cs="Arial"/>
          <w:kern w:val="2"/>
          <w:sz w:val="22"/>
          <w:szCs w:val="22"/>
          <w:lang w:eastAsia="x-none"/>
        </w:rPr>
        <w:lastRenderedPageBreak/>
        <w:t xml:space="preserve">delivers 1.7 times higher resolution and higher sensitivity with a resolution of 120nm (in x, y) and 350nm (in z.) There is also a standard Zeiss </w:t>
      </w:r>
      <w:proofErr w:type="spellStart"/>
      <w:r w:rsidRPr="00011F04">
        <w:rPr>
          <w:rFonts w:ascii="Arial" w:hAnsi="Arial" w:cs="Arial"/>
          <w:kern w:val="2"/>
          <w:sz w:val="22"/>
          <w:szCs w:val="22"/>
          <w:lang w:eastAsia="x-none"/>
        </w:rPr>
        <w:t>Axiophot</w:t>
      </w:r>
      <w:proofErr w:type="spellEnd"/>
      <w:r w:rsidRPr="00011F04">
        <w:rPr>
          <w:rFonts w:ascii="Arial" w:hAnsi="Arial" w:cs="Arial"/>
          <w:kern w:val="2"/>
          <w:sz w:val="22"/>
          <w:szCs w:val="22"/>
          <w:lang w:eastAsia="x-none"/>
        </w:rPr>
        <w:t xml:space="preserve"> </w:t>
      </w:r>
      <w:proofErr w:type="spellStart"/>
      <w:r w:rsidRPr="00011F04">
        <w:rPr>
          <w:rFonts w:ascii="Arial" w:hAnsi="Arial" w:cs="Arial"/>
          <w:kern w:val="2"/>
          <w:sz w:val="22"/>
          <w:szCs w:val="22"/>
          <w:lang w:eastAsia="x-none"/>
        </w:rPr>
        <w:t>epifluorescent</w:t>
      </w:r>
      <w:proofErr w:type="spellEnd"/>
      <w:r w:rsidRPr="00011F04">
        <w:rPr>
          <w:rFonts w:ascii="Arial" w:hAnsi="Arial" w:cs="Arial"/>
          <w:kern w:val="2"/>
          <w:sz w:val="22"/>
          <w:szCs w:val="22"/>
          <w:lang w:eastAsia="x-none"/>
        </w:rPr>
        <w:t xml:space="preserve"> microscope with a Zeiss </w:t>
      </w:r>
      <w:proofErr w:type="spellStart"/>
      <w:r w:rsidRPr="00011F04">
        <w:rPr>
          <w:rFonts w:ascii="Arial" w:hAnsi="Arial" w:cs="Arial"/>
          <w:kern w:val="2"/>
          <w:sz w:val="22"/>
          <w:szCs w:val="22"/>
          <w:lang w:eastAsia="x-none"/>
        </w:rPr>
        <w:t>Axiocam</w:t>
      </w:r>
      <w:proofErr w:type="spellEnd"/>
      <w:r w:rsidRPr="00011F04">
        <w:rPr>
          <w:rFonts w:ascii="Arial" w:hAnsi="Arial" w:cs="Arial"/>
          <w:kern w:val="2"/>
          <w:sz w:val="22"/>
          <w:szCs w:val="22"/>
          <w:lang w:eastAsia="x-none"/>
        </w:rPr>
        <w:t xml:space="preserve"> digital camera attached. Single color, multiple color, and bright field images may be captured using the </w:t>
      </w:r>
      <w:proofErr w:type="spellStart"/>
      <w:r w:rsidRPr="00011F04">
        <w:rPr>
          <w:rFonts w:ascii="Arial" w:hAnsi="Arial" w:cs="Arial"/>
          <w:kern w:val="2"/>
          <w:sz w:val="22"/>
          <w:szCs w:val="22"/>
          <w:lang w:eastAsia="x-none"/>
        </w:rPr>
        <w:t>Axiocam</w:t>
      </w:r>
      <w:proofErr w:type="spellEnd"/>
      <w:r w:rsidRPr="00011F04">
        <w:rPr>
          <w:rFonts w:ascii="Arial" w:hAnsi="Arial" w:cs="Arial"/>
          <w:kern w:val="2"/>
          <w:sz w:val="22"/>
          <w:szCs w:val="22"/>
          <w:lang w:eastAsia="x-none"/>
        </w:rPr>
        <w:t xml:space="preserve"> digital camera</w:t>
      </w:r>
    </w:p>
    <w:p w14:paraId="39B29AF1" w14:textId="77777777" w:rsidR="00011F04" w:rsidRPr="00011F04" w:rsidRDefault="00011F04" w:rsidP="00DB3B47">
      <w:pPr>
        <w:widowControl w:val="0"/>
        <w:snapToGrid w:val="0"/>
        <w:spacing w:after="120"/>
        <w:jc w:val="both"/>
        <w:rPr>
          <w:rFonts w:ascii="Arial" w:hAnsi="Arial" w:cs="Arial"/>
          <w:kern w:val="2"/>
          <w:sz w:val="22"/>
          <w:szCs w:val="22"/>
          <w:lang w:eastAsia="x-none"/>
        </w:rPr>
      </w:pPr>
      <w:r w:rsidRPr="00011F04">
        <w:rPr>
          <w:rFonts w:ascii="Arial" w:hAnsi="Arial" w:cs="Arial"/>
          <w:kern w:val="2"/>
          <w:sz w:val="22"/>
          <w:szCs w:val="22"/>
          <w:lang w:eastAsia="x-none"/>
        </w:rPr>
        <w:t xml:space="preserve">Microdissection of tissues on slides is available using a Zeiss LCM PALM Microbeam Laser Dissecting Scope with a pulsed UV laser (337nm) coupled to a Zeiss Axio microscope. The laser is capable of micro-dissection and micro-ablation of small particles with sub micrometer precision. Live cell imaging is possible with the Leica DMI6000B inverted microscope with an attached environmental chamber. Additionally, this microscope is capable of bright field, IF, and time-lapse imaging. </w:t>
      </w:r>
    </w:p>
    <w:p w14:paraId="13EEE160" w14:textId="77777777" w:rsidR="00011F04" w:rsidRPr="00011F04" w:rsidRDefault="00011F04" w:rsidP="00DB3B47">
      <w:pPr>
        <w:widowControl w:val="0"/>
        <w:snapToGrid w:val="0"/>
        <w:spacing w:after="120"/>
        <w:jc w:val="both"/>
        <w:rPr>
          <w:rFonts w:ascii="Arial" w:hAnsi="Arial" w:cs="Arial"/>
          <w:iCs/>
          <w:kern w:val="2"/>
          <w:sz w:val="22"/>
          <w:szCs w:val="22"/>
          <w:lang w:eastAsia="x-none"/>
        </w:rPr>
      </w:pPr>
      <w:r w:rsidRPr="00011F04">
        <w:rPr>
          <w:rFonts w:ascii="Arial" w:hAnsi="Arial" w:cs="Arial"/>
          <w:kern w:val="2"/>
          <w:sz w:val="22"/>
          <w:szCs w:val="22"/>
          <w:lang w:eastAsia="x-none"/>
        </w:rPr>
        <w:t xml:space="preserve">The core has an Asylum MFP-3D-BIO Atomic Force microscope. It is on an inverted </w:t>
      </w:r>
      <w:proofErr w:type="spellStart"/>
      <w:r w:rsidRPr="00011F04">
        <w:rPr>
          <w:rFonts w:ascii="Arial" w:hAnsi="Arial" w:cs="Arial"/>
          <w:kern w:val="2"/>
          <w:sz w:val="22"/>
          <w:szCs w:val="22"/>
          <w:lang w:eastAsia="x-none"/>
        </w:rPr>
        <w:t>Axioscope</w:t>
      </w:r>
      <w:proofErr w:type="spellEnd"/>
      <w:r w:rsidRPr="00011F04">
        <w:rPr>
          <w:rFonts w:ascii="Arial" w:hAnsi="Arial" w:cs="Arial"/>
          <w:kern w:val="2"/>
          <w:sz w:val="22"/>
          <w:szCs w:val="22"/>
          <w:lang w:eastAsia="x-none"/>
        </w:rPr>
        <w:t xml:space="preserve"> microscope and is specifically designed for biologists. The scope is attached to a Zeiss Apotome 2 to allow optical sectioning with fluorescent illumination. The MFP-3D-BIO allows investigators to measure </w:t>
      </w:r>
      <w:proofErr w:type="spellStart"/>
      <w:r w:rsidRPr="00011F04">
        <w:rPr>
          <w:rFonts w:ascii="Arial" w:hAnsi="Arial" w:cs="Arial"/>
          <w:kern w:val="2"/>
          <w:sz w:val="22"/>
          <w:szCs w:val="22"/>
          <w:lang w:eastAsia="x-none"/>
        </w:rPr>
        <w:t>picoNewton</w:t>
      </w:r>
      <w:proofErr w:type="spellEnd"/>
      <w:r w:rsidRPr="00011F04">
        <w:rPr>
          <w:rFonts w:ascii="Arial" w:hAnsi="Arial" w:cs="Arial"/>
          <w:kern w:val="2"/>
          <w:sz w:val="22"/>
          <w:szCs w:val="22"/>
          <w:lang w:eastAsia="x-none"/>
        </w:rPr>
        <w:t xml:space="preserve"> forces and resolve the smallest features of a sample. Fast Force mapping including automated adhesion and elastic modulus analysis are available.</w:t>
      </w:r>
      <w:r w:rsidRPr="00011F04">
        <w:rPr>
          <w:rFonts w:ascii="Arial" w:hAnsi="Arial" w:cs="Arial"/>
          <w:iCs/>
          <w:kern w:val="2"/>
          <w:sz w:val="22"/>
          <w:szCs w:val="22"/>
          <w:lang w:eastAsia="x-none"/>
        </w:rPr>
        <w:t xml:space="preserve"> </w:t>
      </w:r>
    </w:p>
    <w:p w14:paraId="108759F1" w14:textId="77777777" w:rsidR="00011F04" w:rsidRPr="001632C4" w:rsidRDefault="00011F04" w:rsidP="00DB3B47">
      <w:pPr>
        <w:widowControl w:val="0"/>
        <w:snapToGrid w:val="0"/>
        <w:spacing w:after="120"/>
        <w:jc w:val="both"/>
        <w:rPr>
          <w:rFonts w:ascii="Arial" w:hAnsi="Arial" w:cs="Arial"/>
          <w:kern w:val="2"/>
          <w:sz w:val="22"/>
          <w:szCs w:val="22"/>
          <w:lang w:val="x-none" w:eastAsia="x-none"/>
        </w:rPr>
      </w:pPr>
    </w:p>
    <w:sectPr w:rsidR="00011F04" w:rsidRPr="001632C4" w:rsidSect="00325F0B">
      <w:headerReference w:type="default" r:id="rId13"/>
      <w:type w:val="continuous"/>
      <w:pgSz w:w="12240" w:h="15840"/>
      <w:pgMar w:top="720" w:right="720" w:bottom="720" w:left="720" w:header="0" w:footer="0" w:gutter="0"/>
      <w:pgNumType w:start="3"/>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DF2521" w14:textId="77777777" w:rsidR="00F033BD" w:rsidRDefault="00F033BD">
      <w:r>
        <w:separator/>
      </w:r>
    </w:p>
  </w:endnote>
  <w:endnote w:type="continuationSeparator" w:id="0">
    <w:p w14:paraId="7FFF7A89" w14:textId="77777777" w:rsidR="00F033BD" w:rsidRDefault="00F03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otype Sorts">
    <w:panose1 w:val="01010601010101010101"/>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Bookman">
    <w:altName w:val="Bookman Old Style"/>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455380" w14:textId="77777777" w:rsidR="00F033BD" w:rsidRDefault="00F033BD">
      <w:r>
        <w:separator/>
      </w:r>
    </w:p>
  </w:footnote>
  <w:footnote w:type="continuationSeparator" w:id="0">
    <w:p w14:paraId="7D946878" w14:textId="77777777" w:rsidR="00F033BD" w:rsidRDefault="00F033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178D8F" w14:textId="77777777" w:rsidR="009D6DE4" w:rsidRPr="00073F01" w:rsidRDefault="009D6DE4" w:rsidP="00073F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392EF8B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554DFE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A6219B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3AE7C9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3C487B2"/>
    <w:lvl w:ilvl="0">
      <w:start w:val="1"/>
      <w:numFmt w:val="bullet"/>
      <w:pStyle w:val="ListBullet5"/>
      <w:lvlText w:val=""/>
      <w:lvlJc w:val="left"/>
      <w:pPr>
        <w:tabs>
          <w:tab w:val="num" w:pos="1800"/>
        </w:tabs>
        <w:ind w:left="1800" w:hanging="360"/>
      </w:pPr>
      <w:rPr>
        <w:rFonts w:ascii="Symbol" w:hAnsi="Symbol" w:cs="Times New Roman" w:hint="default"/>
      </w:rPr>
    </w:lvl>
  </w:abstractNum>
  <w:abstractNum w:abstractNumId="5" w15:restartNumberingAfterBreak="0">
    <w:nsid w:val="FFFFFF81"/>
    <w:multiLevelType w:val="singleLevel"/>
    <w:tmpl w:val="DF80D2FA"/>
    <w:lvl w:ilvl="0">
      <w:start w:val="1"/>
      <w:numFmt w:val="bullet"/>
      <w:pStyle w:val="ListBullet4"/>
      <w:lvlText w:val=""/>
      <w:lvlJc w:val="left"/>
      <w:pPr>
        <w:tabs>
          <w:tab w:val="num" w:pos="1440"/>
        </w:tabs>
        <w:ind w:left="1440" w:hanging="360"/>
      </w:pPr>
      <w:rPr>
        <w:rFonts w:ascii="Symbol" w:hAnsi="Symbol" w:cs="Times New Roman" w:hint="default"/>
      </w:rPr>
    </w:lvl>
  </w:abstractNum>
  <w:abstractNum w:abstractNumId="6" w15:restartNumberingAfterBreak="0">
    <w:nsid w:val="FFFFFF82"/>
    <w:multiLevelType w:val="singleLevel"/>
    <w:tmpl w:val="3012708C"/>
    <w:lvl w:ilvl="0">
      <w:start w:val="1"/>
      <w:numFmt w:val="bullet"/>
      <w:pStyle w:val="ListBullet3"/>
      <w:lvlText w:val=""/>
      <w:lvlJc w:val="left"/>
      <w:pPr>
        <w:tabs>
          <w:tab w:val="num" w:pos="1080"/>
        </w:tabs>
        <w:ind w:left="1080" w:hanging="360"/>
      </w:pPr>
      <w:rPr>
        <w:rFonts w:ascii="Symbol" w:hAnsi="Symbol" w:cs="Times New Roman" w:hint="default"/>
      </w:rPr>
    </w:lvl>
  </w:abstractNum>
  <w:abstractNum w:abstractNumId="7" w15:restartNumberingAfterBreak="0">
    <w:nsid w:val="FFFFFF83"/>
    <w:multiLevelType w:val="singleLevel"/>
    <w:tmpl w:val="D96A7106"/>
    <w:lvl w:ilvl="0">
      <w:start w:val="1"/>
      <w:numFmt w:val="bullet"/>
      <w:pStyle w:val="ListBullet2"/>
      <w:lvlText w:val=""/>
      <w:lvlJc w:val="left"/>
      <w:pPr>
        <w:tabs>
          <w:tab w:val="num" w:pos="720"/>
        </w:tabs>
        <w:ind w:left="720" w:hanging="360"/>
      </w:pPr>
      <w:rPr>
        <w:rFonts w:ascii="Symbol" w:hAnsi="Symbol" w:cs="Times New Roman" w:hint="default"/>
      </w:rPr>
    </w:lvl>
  </w:abstractNum>
  <w:abstractNum w:abstractNumId="8" w15:restartNumberingAfterBreak="0">
    <w:nsid w:val="FFFFFF88"/>
    <w:multiLevelType w:val="singleLevel"/>
    <w:tmpl w:val="421A67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C34E4AA"/>
    <w:lvl w:ilvl="0">
      <w:start w:val="1"/>
      <w:numFmt w:val="bullet"/>
      <w:pStyle w:val="ListBullet"/>
      <w:lvlText w:val=""/>
      <w:lvlJc w:val="left"/>
      <w:pPr>
        <w:tabs>
          <w:tab w:val="num" w:pos="360"/>
        </w:tabs>
        <w:ind w:left="360" w:hanging="360"/>
      </w:pPr>
      <w:rPr>
        <w:rFonts w:ascii="Symbol" w:hAnsi="Symbol" w:cs="Times New Roman" w:hint="default"/>
      </w:rPr>
    </w:lvl>
  </w:abstractNum>
  <w:abstractNum w:abstractNumId="10" w15:restartNumberingAfterBreak="0">
    <w:nsid w:val="018E5C40"/>
    <w:multiLevelType w:val="hybridMultilevel"/>
    <w:tmpl w:val="A95A8AEC"/>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1" w15:restartNumberingAfterBreak="0">
    <w:nsid w:val="01C10079"/>
    <w:multiLevelType w:val="singleLevel"/>
    <w:tmpl w:val="60E0C97C"/>
    <w:lvl w:ilvl="0">
      <w:start w:val="1"/>
      <w:numFmt w:val="bullet"/>
      <w:pStyle w:val="ReminderList2"/>
      <w:lvlText w:val=""/>
      <w:lvlJc w:val="left"/>
      <w:pPr>
        <w:tabs>
          <w:tab w:val="num" w:pos="360"/>
        </w:tabs>
        <w:ind w:left="360" w:hanging="360"/>
      </w:pPr>
      <w:rPr>
        <w:rFonts w:ascii="Symbol" w:hAnsi="Symbol" w:cs="Times New Roman" w:hint="default"/>
      </w:rPr>
    </w:lvl>
  </w:abstractNum>
  <w:abstractNum w:abstractNumId="12" w15:restartNumberingAfterBreak="0">
    <w:nsid w:val="11F942B1"/>
    <w:multiLevelType w:val="hybridMultilevel"/>
    <w:tmpl w:val="1DEC5D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17887AC9"/>
    <w:multiLevelType w:val="multilevel"/>
    <w:tmpl w:val="97D40C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EC2340F"/>
    <w:multiLevelType w:val="multilevel"/>
    <w:tmpl w:val="ADE020EC"/>
    <w:lvl w:ilvl="0">
      <w:start w:val="2"/>
      <w:numFmt w:val="decimal"/>
      <w:lvlText w:val="%1."/>
      <w:lvlJc w:val="left"/>
      <w:pPr>
        <w:ind w:left="400" w:hanging="40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5" w15:restartNumberingAfterBreak="0">
    <w:nsid w:val="23C16707"/>
    <w:multiLevelType w:val="hybridMultilevel"/>
    <w:tmpl w:val="ADEE08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6B46EFB"/>
    <w:multiLevelType w:val="hybridMultilevel"/>
    <w:tmpl w:val="E9B0C0F8"/>
    <w:lvl w:ilvl="0" w:tplc="04090001">
      <w:numFmt w:val="decimal"/>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7" w15:restartNumberingAfterBreak="0">
    <w:nsid w:val="28B43361"/>
    <w:multiLevelType w:val="singleLevel"/>
    <w:tmpl w:val="CBC4AECA"/>
    <w:lvl w:ilvl="0">
      <w:start w:val="1"/>
      <w:numFmt w:val="bullet"/>
      <w:pStyle w:val="ReminderList1"/>
      <w:lvlText w:val=""/>
      <w:lvlJc w:val="left"/>
      <w:pPr>
        <w:tabs>
          <w:tab w:val="num" w:pos="360"/>
        </w:tabs>
        <w:ind w:left="360" w:hanging="360"/>
      </w:pPr>
      <w:rPr>
        <w:rFonts w:ascii="Monotype Sorts" w:hAnsi="Monotype Sorts" w:cs="Times New Roman" w:hint="default"/>
      </w:rPr>
    </w:lvl>
  </w:abstractNum>
  <w:abstractNum w:abstractNumId="18" w15:restartNumberingAfterBreak="0">
    <w:nsid w:val="2BD96CFA"/>
    <w:multiLevelType w:val="hybridMultilevel"/>
    <w:tmpl w:val="F93623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2E664154"/>
    <w:multiLevelType w:val="multilevel"/>
    <w:tmpl w:val="836A171C"/>
    <w:lvl w:ilvl="0">
      <w:start w:val="2"/>
      <w:numFmt w:val="decimal"/>
      <w:lvlText w:val="%1."/>
      <w:lvlJc w:val="right"/>
      <w:pPr>
        <w:ind w:left="360" w:hanging="360"/>
      </w:pPr>
    </w:lvl>
    <w:lvl w:ilvl="1">
      <w:start w:val="1"/>
      <w:numFmt w:val="decimal"/>
      <w:suff w:val="space"/>
      <w:lvlText w:val="%1.%2"/>
      <w:lvlJc w:val="left"/>
      <w:pPr>
        <w:ind w:left="720" w:hanging="360"/>
      </w:pPr>
    </w:lvl>
    <w:lvl w:ilvl="2">
      <w:start w:val="1"/>
      <w:numFmt w:val="decimal"/>
      <w:suff w:val="space"/>
      <w:lvlText w:val="%1.%2.%3"/>
      <w:lvlJc w:val="left"/>
      <w:pPr>
        <w:ind w:left="1170" w:hanging="720"/>
      </w:pPr>
      <w:rPr>
        <w:rFonts w:ascii="Arial" w:hAnsi="Arial" w:cs="Arial" w:hint="default"/>
        <w:b/>
        <w:bCs/>
        <w:i w:val="0"/>
        <w:iCs/>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0" w15:restartNumberingAfterBreak="0">
    <w:nsid w:val="349E58EB"/>
    <w:multiLevelType w:val="hybridMultilevel"/>
    <w:tmpl w:val="14D6B150"/>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E92E0DA6">
      <w:start w:val="1"/>
      <w:numFmt w:val="lowerRoman"/>
      <w:pStyle w:val="Bullet1"/>
      <w:lvlText w:val="%3."/>
      <w:lvlJc w:val="right"/>
      <w:pPr>
        <w:tabs>
          <w:tab w:val="num" w:pos="2160"/>
        </w:tabs>
        <w:ind w:left="2160" w:hanging="180"/>
      </w:pPr>
      <w:rPr>
        <w:rFonts w:cs="Times New Roman"/>
      </w:rPr>
    </w:lvl>
    <w:lvl w:ilvl="3" w:tplc="C092308C">
      <w:start w:val="11"/>
      <w:numFmt w:val="upperLetter"/>
      <w:lvlText w:val="%4."/>
      <w:lvlJc w:val="left"/>
      <w:pPr>
        <w:tabs>
          <w:tab w:val="num" w:pos="2880"/>
        </w:tabs>
        <w:ind w:left="2880" w:hanging="360"/>
      </w:pPr>
      <w:rPr>
        <w:rFonts w:cs="Times New Roman" w:hint="default"/>
        <w:b/>
        <w:u w:val="single"/>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1" w15:restartNumberingAfterBreak="0">
    <w:nsid w:val="3E0913ED"/>
    <w:multiLevelType w:val="multilevel"/>
    <w:tmpl w:val="3BB4F6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E532CC0"/>
    <w:multiLevelType w:val="multilevel"/>
    <w:tmpl w:val="024464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FDA556F"/>
    <w:multiLevelType w:val="multilevel"/>
    <w:tmpl w:val="1D56BED6"/>
    <w:lvl w:ilvl="0">
      <w:start w:val="1"/>
      <w:numFmt w:val="decimal"/>
      <w:pStyle w:val="Heading1"/>
      <w:lvlText w:val="%1"/>
      <w:lvlJc w:val="left"/>
      <w:pPr>
        <w:ind w:left="882" w:hanging="432"/>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846" w:hanging="576"/>
      </w:pPr>
      <w:rPr>
        <w:rFonts w:hint="default"/>
        <w:b/>
      </w:rPr>
    </w:lvl>
    <w:lvl w:ilvl="2">
      <w:start w:val="1"/>
      <w:numFmt w:val="decimal"/>
      <w:pStyle w:val="Heading3"/>
      <w:lvlText w:val="%1.%2.%3"/>
      <w:lvlJc w:val="left"/>
      <w:pPr>
        <w:ind w:left="1170" w:hanging="720"/>
      </w:pPr>
      <w:rPr>
        <w:rFonts w:hint="default"/>
        <w:b/>
      </w:rPr>
    </w:lvl>
    <w:lvl w:ilvl="3">
      <w:start w:val="1"/>
      <w:numFmt w:val="decimal"/>
      <w:pStyle w:val="Heading4"/>
      <w:lvlText w:val="%1.%2.%3.%4"/>
      <w:lvlJc w:val="left"/>
      <w:pPr>
        <w:ind w:left="1404" w:hanging="864"/>
      </w:pPr>
      <w:rPr>
        <w:rFonts w:hint="default"/>
        <w:b/>
        <w:i w:val="0"/>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48215CEB"/>
    <w:multiLevelType w:val="multilevel"/>
    <w:tmpl w:val="DFF42594"/>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A5D1904"/>
    <w:multiLevelType w:val="hybridMultilevel"/>
    <w:tmpl w:val="DF1E3F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4CD96A23"/>
    <w:multiLevelType w:val="hybridMultilevel"/>
    <w:tmpl w:val="13FCE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8344D7"/>
    <w:multiLevelType w:val="hybridMultilevel"/>
    <w:tmpl w:val="0A20DD62"/>
    <w:lvl w:ilvl="0" w:tplc="FFFFFFFF">
      <w:start w:val="1"/>
      <w:numFmt w:val="bullet"/>
      <w:lvlText w:val=""/>
      <w:lvlJc w:val="left"/>
      <w:pPr>
        <w:ind w:left="857" w:hanging="369"/>
      </w:pPr>
      <w:rPr>
        <w:rFonts w:ascii="Symbol" w:eastAsia="Symbol" w:hAnsi="Symbol" w:hint="default"/>
        <w:w w:val="101"/>
        <w:sz w:val="22"/>
        <w:szCs w:val="22"/>
      </w:rPr>
    </w:lvl>
    <w:lvl w:ilvl="1" w:tplc="FFFFFFFF">
      <w:start w:val="1"/>
      <w:numFmt w:val="bullet"/>
      <w:lvlText w:val=""/>
      <w:lvlJc w:val="left"/>
      <w:pPr>
        <w:ind w:left="1576" w:hanging="369"/>
      </w:pPr>
      <w:rPr>
        <w:rFonts w:ascii="Symbol" w:eastAsia="Symbol" w:hAnsi="Symbol" w:hint="default"/>
        <w:w w:val="101"/>
        <w:sz w:val="22"/>
        <w:szCs w:val="22"/>
      </w:rPr>
    </w:lvl>
    <w:lvl w:ilvl="2" w:tplc="FFFFFFFF">
      <w:start w:val="1"/>
      <w:numFmt w:val="bullet"/>
      <w:lvlText w:val="•"/>
      <w:lvlJc w:val="left"/>
      <w:pPr>
        <w:ind w:left="2669" w:hanging="369"/>
      </w:pPr>
    </w:lvl>
    <w:lvl w:ilvl="3" w:tplc="FFFFFFFF">
      <w:start w:val="1"/>
      <w:numFmt w:val="bullet"/>
      <w:lvlText w:val="•"/>
      <w:lvlJc w:val="left"/>
      <w:pPr>
        <w:ind w:left="3761" w:hanging="369"/>
      </w:pPr>
    </w:lvl>
    <w:lvl w:ilvl="4" w:tplc="FFFFFFFF">
      <w:start w:val="1"/>
      <w:numFmt w:val="bullet"/>
      <w:lvlText w:val="•"/>
      <w:lvlJc w:val="left"/>
      <w:pPr>
        <w:ind w:left="4854" w:hanging="369"/>
      </w:pPr>
    </w:lvl>
    <w:lvl w:ilvl="5" w:tplc="FFFFFFFF">
      <w:start w:val="1"/>
      <w:numFmt w:val="bullet"/>
      <w:lvlText w:val="•"/>
      <w:lvlJc w:val="left"/>
      <w:pPr>
        <w:ind w:left="5946" w:hanging="369"/>
      </w:pPr>
    </w:lvl>
    <w:lvl w:ilvl="6" w:tplc="FFFFFFFF">
      <w:start w:val="1"/>
      <w:numFmt w:val="bullet"/>
      <w:lvlText w:val="•"/>
      <w:lvlJc w:val="left"/>
      <w:pPr>
        <w:ind w:left="7039" w:hanging="369"/>
      </w:pPr>
    </w:lvl>
    <w:lvl w:ilvl="7" w:tplc="FFFFFFFF">
      <w:start w:val="1"/>
      <w:numFmt w:val="bullet"/>
      <w:lvlText w:val="•"/>
      <w:lvlJc w:val="left"/>
      <w:pPr>
        <w:ind w:left="8131" w:hanging="369"/>
      </w:pPr>
    </w:lvl>
    <w:lvl w:ilvl="8" w:tplc="FFFFFFFF">
      <w:start w:val="1"/>
      <w:numFmt w:val="bullet"/>
      <w:lvlText w:val="•"/>
      <w:lvlJc w:val="left"/>
      <w:pPr>
        <w:ind w:left="9224" w:hanging="369"/>
      </w:pPr>
    </w:lvl>
  </w:abstractNum>
  <w:abstractNum w:abstractNumId="28" w15:restartNumberingAfterBreak="0">
    <w:nsid w:val="57104F41"/>
    <w:multiLevelType w:val="hybridMultilevel"/>
    <w:tmpl w:val="88ACB0D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9" w15:restartNumberingAfterBreak="0">
    <w:nsid w:val="577912DB"/>
    <w:multiLevelType w:val="hybridMultilevel"/>
    <w:tmpl w:val="FBFCAC22"/>
    <w:lvl w:ilvl="0" w:tplc="04090001">
      <w:start w:val="1"/>
      <w:numFmt w:val="bullet"/>
      <w:lvlText w:val=""/>
      <w:lvlJc w:val="left"/>
      <w:pPr>
        <w:ind w:left="2160" w:hanging="360"/>
      </w:pPr>
      <w:rPr>
        <w:rFonts w:ascii="Symbol" w:hAnsi="Symbol" w:hint="default"/>
      </w:rPr>
    </w:lvl>
    <w:lvl w:ilvl="1" w:tplc="FE56CE2C">
      <w:numFmt w:val="bullet"/>
      <w:lvlText w:val="·"/>
      <w:lvlJc w:val="left"/>
      <w:pPr>
        <w:ind w:left="3255" w:hanging="735"/>
      </w:pPr>
      <w:rPr>
        <w:rFonts w:ascii="Arial" w:eastAsiaTheme="minorHAnsi" w:hAnsi="Arial" w:cs="Arial" w:hint="default"/>
        <w:color w:val="242424"/>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58F16007"/>
    <w:multiLevelType w:val="hybridMultilevel"/>
    <w:tmpl w:val="49B2A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1A751E"/>
    <w:multiLevelType w:val="hybridMultilevel"/>
    <w:tmpl w:val="C3A074B2"/>
    <w:lvl w:ilvl="0" w:tplc="04090001">
      <w:numFmt w:val="decimal"/>
      <w:lvlText w:val=""/>
      <w:lvlJc w:val="left"/>
      <w:pPr>
        <w:ind w:left="1080" w:hanging="72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00154A7"/>
    <w:multiLevelType w:val="singleLevel"/>
    <w:tmpl w:val="CA7233C6"/>
    <w:lvl w:ilvl="0">
      <w:start w:val="1"/>
      <w:numFmt w:val="bullet"/>
      <w:pStyle w:val="ReminderList3"/>
      <w:lvlText w:val=""/>
      <w:lvlJc w:val="left"/>
      <w:pPr>
        <w:tabs>
          <w:tab w:val="num" w:pos="360"/>
        </w:tabs>
        <w:ind w:left="360" w:hanging="360"/>
      </w:pPr>
      <w:rPr>
        <w:rFonts w:ascii="Symbol" w:hAnsi="Symbol" w:cs="Times New Roman" w:hint="default"/>
        <w:color w:val="auto"/>
      </w:rPr>
    </w:lvl>
  </w:abstractNum>
  <w:abstractNum w:abstractNumId="33" w15:restartNumberingAfterBreak="0">
    <w:nsid w:val="654302C8"/>
    <w:multiLevelType w:val="hybridMultilevel"/>
    <w:tmpl w:val="596E53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65E43984"/>
    <w:multiLevelType w:val="hybridMultilevel"/>
    <w:tmpl w:val="5E5C6D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65F64970"/>
    <w:multiLevelType w:val="hybridMultilevel"/>
    <w:tmpl w:val="24DEC8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62849F6"/>
    <w:multiLevelType w:val="hybridMultilevel"/>
    <w:tmpl w:val="C5A4B0E6"/>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7" w15:restartNumberingAfterBreak="0">
    <w:nsid w:val="66DB1C3F"/>
    <w:multiLevelType w:val="hybridMultilevel"/>
    <w:tmpl w:val="C68CA4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68BE215A"/>
    <w:multiLevelType w:val="hybridMultilevel"/>
    <w:tmpl w:val="5224C8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70CC19B9"/>
    <w:multiLevelType w:val="hybridMultilevel"/>
    <w:tmpl w:val="81F06E16"/>
    <w:lvl w:ilvl="0" w:tplc="04090001">
      <w:numFmt w:val="decimal"/>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70E727C8"/>
    <w:multiLevelType w:val="multilevel"/>
    <w:tmpl w:val="EAAC784E"/>
    <w:lvl w:ilvl="0">
      <w:start w:val="10"/>
      <w:numFmt w:val="upperLetter"/>
      <w:pStyle w:val="QuickA"/>
      <w:lvlText w:val="%1."/>
      <w:legacy w:legacy="1" w:legacySpace="0" w:legacyIndent="720"/>
      <w:lvlJc w:val="left"/>
      <w:pPr>
        <w:ind w:left="720" w:hanging="720"/>
      </w:pPr>
    </w:lvl>
    <w:lvl w:ilvl="1">
      <w:start w:val="3"/>
      <w:numFmt w:val="upperLetter"/>
      <w:lvlText w:val="%2."/>
      <w:legacy w:legacy="1" w:legacySpace="0" w:legacyIndent="720"/>
      <w:lvlJc w:val="left"/>
      <w:pPr>
        <w:ind w:left="1440" w:hanging="720"/>
      </w:pPr>
    </w:lvl>
    <w:lvl w:ilvl="2">
      <w:start w:val="1"/>
      <w:numFmt w:val="upperLetter"/>
      <w:lvlText w:val="%3."/>
      <w:legacy w:legacy="1" w:legacySpace="0" w:legacyIndent="720"/>
      <w:lvlJc w:val="left"/>
      <w:pPr>
        <w:ind w:left="2160" w:hanging="720"/>
      </w:pPr>
    </w:lvl>
    <w:lvl w:ilvl="3">
      <w:start w:val="2"/>
      <w:numFmt w:val="upperLetter"/>
      <w:lvlText w:val="%4."/>
      <w:legacy w:legacy="1" w:legacySpace="0" w:legacyIndent="720"/>
      <w:lvlJc w:val="left"/>
      <w:pPr>
        <w:ind w:left="2880" w:hanging="720"/>
      </w:pPr>
    </w:lvl>
    <w:lvl w:ilvl="4">
      <w:start w:val="1"/>
      <w:numFmt w:val="upperLetter"/>
      <w:lvlText w:val="%5."/>
      <w:legacy w:legacy="1" w:legacySpace="0" w:legacyIndent="720"/>
      <w:lvlJc w:val="left"/>
      <w:pPr>
        <w:ind w:left="3600" w:hanging="720"/>
      </w:pPr>
    </w:lvl>
    <w:lvl w:ilvl="5">
      <w:start w:val="1"/>
      <w:numFmt w:val="upperLetter"/>
      <w:lvlText w:val="%6."/>
      <w:legacy w:legacy="1" w:legacySpace="0" w:legacyIndent="720"/>
      <w:lvlJc w:val="left"/>
      <w:pPr>
        <w:ind w:left="4320" w:hanging="720"/>
      </w:pPr>
    </w:lvl>
    <w:lvl w:ilvl="6">
      <w:start w:val="1"/>
      <w:numFmt w:val="upperLetter"/>
      <w:lvlText w:val="%7."/>
      <w:legacy w:legacy="1" w:legacySpace="0" w:legacyIndent="720"/>
      <w:lvlJc w:val="left"/>
      <w:pPr>
        <w:ind w:left="5040" w:hanging="720"/>
      </w:pPr>
    </w:lvl>
    <w:lvl w:ilvl="7">
      <w:start w:val="1"/>
      <w:numFmt w:val="upp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1" w15:restartNumberingAfterBreak="0">
    <w:nsid w:val="79BC63A0"/>
    <w:multiLevelType w:val="hybridMultilevel"/>
    <w:tmpl w:val="16A4DD4E"/>
    <w:lvl w:ilvl="0" w:tplc="0409000F">
      <w:start w:val="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297AA8"/>
    <w:multiLevelType w:val="multilevel"/>
    <w:tmpl w:val="A60212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FC2715"/>
    <w:multiLevelType w:val="multilevel"/>
    <w:tmpl w:val="2B68B438"/>
    <w:lvl w:ilvl="0">
      <w:start w:val="1"/>
      <w:numFmt w:val="decimal"/>
      <w:lvlText w:val="%1"/>
      <w:lvlJc w:val="left"/>
      <w:pPr>
        <w:ind w:left="360" w:hanging="360"/>
      </w:pPr>
      <w:rPr>
        <w:rFonts w:hint="default"/>
      </w:rPr>
    </w:lvl>
    <w:lvl w:ilvl="1">
      <w:start w:val="2"/>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16cid:durableId="490370472">
    <w:abstractNumId w:val="9"/>
  </w:num>
  <w:num w:numId="2" w16cid:durableId="976496047">
    <w:abstractNumId w:val="7"/>
  </w:num>
  <w:num w:numId="3" w16cid:durableId="13728155">
    <w:abstractNumId w:val="6"/>
  </w:num>
  <w:num w:numId="4" w16cid:durableId="262341654">
    <w:abstractNumId w:val="5"/>
  </w:num>
  <w:num w:numId="5" w16cid:durableId="1767261348">
    <w:abstractNumId w:val="4"/>
  </w:num>
  <w:num w:numId="6" w16cid:durableId="2120098380">
    <w:abstractNumId w:val="8"/>
  </w:num>
  <w:num w:numId="7" w16cid:durableId="745538324">
    <w:abstractNumId w:val="3"/>
  </w:num>
  <w:num w:numId="8" w16cid:durableId="1944191224">
    <w:abstractNumId w:val="2"/>
  </w:num>
  <w:num w:numId="9" w16cid:durableId="1589273081">
    <w:abstractNumId w:val="1"/>
  </w:num>
  <w:num w:numId="10" w16cid:durableId="1075085001">
    <w:abstractNumId w:val="0"/>
  </w:num>
  <w:num w:numId="11" w16cid:durableId="360519174">
    <w:abstractNumId w:val="11"/>
  </w:num>
  <w:num w:numId="12" w16cid:durableId="1341347742">
    <w:abstractNumId w:val="17"/>
  </w:num>
  <w:num w:numId="13" w16cid:durableId="1172374438">
    <w:abstractNumId w:val="32"/>
  </w:num>
  <w:num w:numId="14" w16cid:durableId="1417435596">
    <w:abstractNumId w:val="40"/>
  </w:num>
  <w:num w:numId="15" w16cid:durableId="1325208001">
    <w:abstractNumId w:val="20"/>
  </w:num>
  <w:num w:numId="16" w16cid:durableId="455415185">
    <w:abstractNumId w:val="23"/>
  </w:num>
  <w:num w:numId="17" w16cid:durableId="1406337141">
    <w:abstractNumId w:val="30"/>
  </w:num>
  <w:num w:numId="18" w16cid:durableId="1301424647">
    <w:abstractNumId w:val="41"/>
  </w:num>
  <w:num w:numId="19" w16cid:durableId="177277273">
    <w:abstractNumId w:val="29"/>
  </w:num>
  <w:num w:numId="20" w16cid:durableId="2074156599">
    <w:abstractNumId w:val="28"/>
  </w:num>
  <w:num w:numId="21" w16cid:durableId="1811358224">
    <w:abstractNumId w:val="25"/>
  </w:num>
  <w:num w:numId="22" w16cid:durableId="1919905159">
    <w:abstractNumId w:val="27"/>
  </w:num>
  <w:num w:numId="23" w16cid:durableId="1673409438">
    <w:abstractNumId w:val="33"/>
  </w:num>
  <w:num w:numId="24" w16cid:durableId="73286333">
    <w:abstractNumId w:val="12"/>
  </w:num>
  <w:num w:numId="25" w16cid:durableId="1436171309">
    <w:abstractNumId w:val="26"/>
  </w:num>
  <w:num w:numId="26" w16cid:durableId="1529828835">
    <w:abstractNumId w:val="22"/>
  </w:num>
  <w:num w:numId="27" w16cid:durableId="1409771481">
    <w:abstractNumId w:val="31"/>
  </w:num>
  <w:num w:numId="28" w16cid:durableId="1000741304">
    <w:abstractNumId w:val="16"/>
  </w:num>
  <w:num w:numId="29" w16cid:durableId="942735811">
    <w:abstractNumId w:val="39"/>
  </w:num>
  <w:num w:numId="30" w16cid:durableId="1254314013">
    <w:abstractNumId w:val="35"/>
  </w:num>
  <w:num w:numId="31" w16cid:durableId="1986931356">
    <w:abstractNumId w:val="37"/>
  </w:num>
  <w:num w:numId="32" w16cid:durableId="923606573">
    <w:abstractNumId w:val="43"/>
  </w:num>
  <w:num w:numId="33" w16cid:durableId="85659244">
    <w:abstractNumId w:val="24"/>
  </w:num>
  <w:num w:numId="34" w16cid:durableId="1148788412">
    <w:abstractNumId w:val="15"/>
  </w:num>
  <w:num w:numId="35" w16cid:durableId="931400636">
    <w:abstractNumId w:val="14"/>
  </w:num>
  <w:num w:numId="36" w16cid:durableId="1737825369">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43246027">
    <w:abstractNumId w:val="42"/>
  </w:num>
  <w:num w:numId="38" w16cid:durableId="246427868">
    <w:abstractNumId w:val="18"/>
  </w:num>
  <w:num w:numId="39" w16cid:durableId="1665549350">
    <w:abstractNumId w:val="34"/>
  </w:num>
  <w:num w:numId="40" w16cid:durableId="1061054098">
    <w:abstractNumId w:val="36"/>
  </w:num>
  <w:num w:numId="41" w16cid:durableId="346567995">
    <w:abstractNumId w:val="13"/>
  </w:num>
  <w:num w:numId="42" w16cid:durableId="1921981748">
    <w:abstractNumId w:val="10"/>
  </w:num>
  <w:num w:numId="43" w16cid:durableId="1569459654">
    <w:abstractNumId w:val="21"/>
  </w:num>
  <w:num w:numId="44" w16cid:durableId="1300650100">
    <w:abstractNumId w:val="38"/>
  </w:num>
  <w:numIdMacAtCleanup w:val="4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embedSystemFonts/>
  <w:proofState w:spelling="clean" w:grammar="clean"/>
  <w:defaultTabStop w:val="360"/>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C93"/>
    <w:rsid w:val="00003403"/>
    <w:rsid w:val="00003650"/>
    <w:rsid w:val="000056D1"/>
    <w:rsid w:val="00006CC5"/>
    <w:rsid w:val="000075B4"/>
    <w:rsid w:val="00011F04"/>
    <w:rsid w:val="00012139"/>
    <w:rsid w:val="00012246"/>
    <w:rsid w:val="000176DA"/>
    <w:rsid w:val="000200E4"/>
    <w:rsid w:val="00021F11"/>
    <w:rsid w:val="00022203"/>
    <w:rsid w:val="00022B9C"/>
    <w:rsid w:val="000239A1"/>
    <w:rsid w:val="000239CF"/>
    <w:rsid w:val="00023E1F"/>
    <w:rsid w:val="00024016"/>
    <w:rsid w:val="000241C4"/>
    <w:rsid w:val="0002421B"/>
    <w:rsid w:val="00024D37"/>
    <w:rsid w:val="00025891"/>
    <w:rsid w:val="00031994"/>
    <w:rsid w:val="00037618"/>
    <w:rsid w:val="00041232"/>
    <w:rsid w:val="00046BC7"/>
    <w:rsid w:val="0004775B"/>
    <w:rsid w:val="00047BE2"/>
    <w:rsid w:val="0005111C"/>
    <w:rsid w:val="000514ED"/>
    <w:rsid w:val="000530E4"/>
    <w:rsid w:val="00053DC8"/>
    <w:rsid w:val="000543A3"/>
    <w:rsid w:val="00057152"/>
    <w:rsid w:val="00057F59"/>
    <w:rsid w:val="00060BA4"/>
    <w:rsid w:val="0006408B"/>
    <w:rsid w:val="00065DCF"/>
    <w:rsid w:val="00066F31"/>
    <w:rsid w:val="00072043"/>
    <w:rsid w:val="000743BC"/>
    <w:rsid w:val="000744D5"/>
    <w:rsid w:val="00074885"/>
    <w:rsid w:val="00074B49"/>
    <w:rsid w:val="00075FCF"/>
    <w:rsid w:val="000773D9"/>
    <w:rsid w:val="000802E2"/>
    <w:rsid w:val="00080819"/>
    <w:rsid w:val="00080848"/>
    <w:rsid w:val="00080C0C"/>
    <w:rsid w:val="00081801"/>
    <w:rsid w:val="00083009"/>
    <w:rsid w:val="000834F9"/>
    <w:rsid w:val="0008560F"/>
    <w:rsid w:val="000866C7"/>
    <w:rsid w:val="00087564"/>
    <w:rsid w:val="00090D75"/>
    <w:rsid w:val="000910A4"/>
    <w:rsid w:val="00091F0A"/>
    <w:rsid w:val="0009316D"/>
    <w:rsid w:val="00094570"/>
    <w:rsid w:val="00095FFE"/>
    <w:rsid w:val="00096DD5"/>
    <w:rsid w:val="0009794A"/>
    <w:rsid w:val="000A0C59"/>
    <w:rsid w:val="000A219C"/>
    <w:rsid w:val="000A283D"/>
    <w:rsid w:val="000A3CD3"/>
    <w:rsid w:val="000A4450"/>
    <w:rsid w:val="000A5815"/>
    <w:rsid w:val="000A5CB8"/>
    <w:rsid w:val="000A6BF2"/>
    <w:rsid w:val="000A6F7F"/>
    <w:rsid w:val="000B02E5"/>
    <w:rsid w:val="000B07AB"/>
    <w:rsid w:val="000B11A5"/>
    <w:rsid w:val="000B18FD"/>
    <w:rsid w:val="000B1EA1"/>
    <w:rsid w:val="000B2AF7"/>
    <w:rsid w:val="000B363A"/>
    <w:rsid w:val="000B4131"/>
    <w:rsid w:val="000B4EAC"/>
    <w:rsid w:val="000B7210"/>
    <w:rsid w:val="000C14CC"/>
    <w:rsid w:val="000C25E5"/>
    <w:rsid w:val="000C300E"/>
    <w:rsid w:val="000C56F2"/>
    <w:rsid w:val="000C58A3"/>
    <w:rsid w:val="000C65B3"/>
    <w:rsid w:val="000C6FE2"/>
    <w:rsid w:val="000C7F90"/>
    <w:rsid w:val="000D1BB0"/>
    <w:rsid w:val="000D3528"/>
    <w:rsid w:val="000D6240"/>
    <w:rsid w:val="000D6EEE"/>
    <w:rsid w:val="000D750C"/>
    <w:rsid w:val="000E084C"/>
    <w:rsid w:val="000E104A"/>
    <w:rsid w:val="000E20AD"/>
    <w:rsid w:val="000E518D"/>
    <w:rsid w:val="000E5957"/>
    <w:rsid w:val="000E64F8"/>
    <w:rsid w:val="000E7A4A"/>
    <w:rsid w:val="000E7B44"/>
    <w:rsid w:val="000F17DF"/>
    <w:rsid w:val="000F2C16"/>
    <w:rsid w:val="000F4CB3"/>
    <w:rsid w:val="000F6831"/>
    <w:rsid w:val="000F77E1"/>
    <w:rsid w:val="00100A54"/>
    <w:rsid w:val="0010219C"/>
    <w:rsid w:val="00102DD6"/>
    <w:rsid w:val="001065B1"/>
    <w:rsid w:val="00107BFC"/>
    <w:rsid w:val="00111A8B"/>
    <w:rsid w:val="001120DE"/>
    <w:rsid w:val="00113551"/>
    <w:rsid w:val="00113FD5"/>
    <w:rsid w:val="00115185"/>
    <w:rsid w:val="00116DE7"/>
    <w:rsid w:val="001174B7"/>
    <w:rsid w:val="00121804"/>
    <w:rsid w:val="00121D24"/>
    <w:rsid w:val="00122CD1"/>
    <w:rsid w:val="001237C7"/>
    <w:rsid w:val="00126830"/>
    <w:rsid w:val="00127C48"/>
    <w:rsid w:val="00130333"/>
    <w:rsid w:val="00130C4B"/>
    <w:rsid w:val="00132299"/>
    <w:rsid w:val="00135E93"/>
    <w:rsid w:val="001414FC"/>
    <w:rsid w:val="00144383"/>
    <w:rsid w:val="00146F96"/>
    <w:rsid w:val="001501BD"/>
    <w:rsid w:val="00150DD0"/>
    <w:rsid w:val="00153798"/>
    <w:rsid w:val="0015606C"/>
    <w:rsid w:val="00157064"/>
    <w:rsid w:val="001572BA"/>
    <w:rsid w:val="00157C36"/>
    <w:rsid w:val="00160A6C"/>
    <w:rsid w:val="00160D8F"/>
    <w:rsid w:val="0016137E"/>
    <w:rsid w:val="001618A0"/>
    <w:rsid w:val="00162139"/>
    <w:rsid w:val="001632C4"/>
    <w:rsid w:val="00164EBE"/>
    <w:rsid w:val="001656CF"/>
    <w:rsid w:val="001670F1"/>
    <w:rsid w:val="0016737B"/>
    <w:rsid w:val="00167FAD"/>
    <w:rsid w:val="00170450"/>
    <w:rsid w:val="001717A9"/>
    <w:rsid w:val="001733B7"/>
    <w:rsid w:val="00173CF7"/>
    <w:rsid w:val="00175037"/>
    <w:rsid w:val="0018024F"/>
    <w:rsid w:val="00182D41"/>
    <w:rsid w:val="0018348F"/>
    <w:rsid w:val="0018453A"/>
    <w:rsid w:val="00184A39"/>
    <w:rsid w:val="001857DD"/>
    <w:rsid w:val="00185CB1"/>
    <w:rsid w:val="001860AB"/>
    <w:rsid w:val="00186965"/>
    <w:rsid w:val="0019110E"/>
    <w:rsid w:val="00195370"/>
    <w:rsid w:val="001955ED"/>
    <w:rsid w:val="00195B55"/>
    <w:rsid w:val="00196982"/>
    <w:rsid w:val="00197492"/>
    <w:rsid w:val="001977A4"/>
    <w:rsid w:val="00197F2C"/>
    <w:rsid w:val="001A0C19"/>
    <w:rsid w:val="001A3300"/>
    <w:rsid w:val="001A4242"/>
    <w:rsid w:val="001A61F3"/>
    <w:rsid w:val="001B1438"/>
    <w:rsid w:val="001B4114"/>
    <w:rsid w:val="001B5BA8"/>
    <w:rsid w:val="001C49A0"/>
    <w:rsid w:val="001C560B"/>
    <w:rsid w:val="001C5BB5"/>
    <w:rsid w:val="001C630D"/>
    <w:rsid w:val="001C7305"/>
    <w:rsid w:val="001D18A0"/>
    <w:rsid w:val="001D2BFD"/>
    <w:rsid w:val="001D2DAC"/>
    <w:rsid w:val="001D3686"/>
    <w:rsid w:val="001D42A9"/>
    <w:rsid w:val="001D4C91"/>
    <w:rsid w:val="001D72B9"/>
    <w:rsid w:val="001D791D"/>
    <w:rsid w:val="001E0B57"/>
    <w:rsid w:val="001E0CA6"/>
    <w:rsid w:val="001E0DB3"/>
    <w:rsid w:val="001E165B"/>
    <w:rsid w:val="001E3B1B"/>
    <w:rsid w:val="001E5C75"/>
    <w:rsid w:val="001F13D6"/>
    <w:rsid w:val="001F15BE"/>
    <w:rsid w:val="001F17C2"/>
    <w:rsid w:val="001F2AD2"/>
    <w:rsid w:val="001F354D"/>
    <w:rsid w:val="001F6070"/>
    <w:rsid w:val="001F60DA"/>
    <w:rsid w:val="001F6C36"/>
    <w:rsid w:val="0020049F"/>
    <w:rsid w:val="0020175D"/>
    <w:rsid w:val="002021E1"/>
    <w:rsid w:val="002041D5"/>
    <w:rsid w:val="002044AF"/>
    <w:rsid w:val="0020686E"/>
    <w:rsid w:val="00207A19"/>
    <w:rsid w:val="002129AD"/>
    <w:rsid w:val="002129EA"/>
    <w:rsid w:val="002155E4"/>
    <w:rsid w:val="00215C22"/>
    <w:rsid w:val="00216C25"/>
    <w:rsid w:val="0021750F"/>
    <w:rsid w:val="00221118"/>
    <w:rsid w:val="00221AAC"/>
    <w:rsid w:val="00222FFB"/>
    <w:rsid w:val="00223ACC"/>
    <w:rsid w:val="0022521C"/>
    <w:rsid w:val="00225986"/>
    <w:rsid w:val="00226C42"/>
    <w:rsid w:val="00230E60"/>
    <w:rsid w:val="00231AC4"/>
    <w:rsid w:val="00231C3F"/>
    <w:rsid w:val="00232C4C"/>
    <w:rsid w:val="0024061F"/>
    <w:rsid w:val="002412F4"/>
    <w:rsid w:val="00242B2E"/>
    <w:rsid w:val="00244677"/>
    <w:rsid w:val="002447BB"/>
    <w:rsid w:val="0024536D"/>
    <w:rsid w:val="00247B64"/>
    <w:rsid w:val="00250656"/>
    <w:rsid w:val="0025333E"/>
    <w:rsid w:val="0025468C"/>
    <w:rsid w:val="002550A3"/>
    <w:rsid w:val="00255B19"/>
    <w:rsid w:val="0025668D"/>
    <w:rsid w:val="00260216"/>
    <w:rsid w:val="0026125C"/>
    <w:rsid w:val="00262E46"/>
    <w:rsid w:val="002634E4"/>
    <w:rsid w:val="0026385B"/>
    <w:rsid w:val="002638AF"/>
    <w:rsid w:val="00263957"/>
    <w:rsid w:val="002639B7"/>
    <w:rsid w:val="00263EF2"/>
    <w:rsid w:val="00265920"/>
    <w:rsid w:val="002674F6"/>
    <w:rsid w:val="00270E0B"/>
    <w:rsid w:val="00271278"/>
    <w:rsid w:val="00271508"/>
    <w:rsid w:val="00273040"/>
    <w:rsid w:val="00277EC5"/>
    <w:rsid w:val="00283865"/>
    <w:rsid w:val="00284A20"/>
    <w:rsid w:val="00285596"/>
    <w:rsid w:val="00285651"/>
    <w:rsid w:val="0029039A"/>
    <w:rsid w:val="00293F7C"/>
    <w:rsid w:val="00294DA1"/>
    <w:rsid w:val="00296EE3"/>
    <w:rsid w:val="002974D6"/>
    <w:rsid w:val="00297E1D"/>
    <w:rsid w:val="00297F6D"/>
    <w:rsid w:val="002A53C0"/>
    <w:rsid w:val="002A6153"/>
    <w:rsid w:val="002A7AB8"/>
    <w:rsid w:val="002A7B87"/>
    <w:rsid w:val="002B1756"/>
    <w:rsid w:val="002B2BA8"/>
    <w:rsid w:val="002B3287"/>
    <w:rsid w:val="002B51E4"/>
    <w:rsid w:val="002C0502"/>
    <w:rsid w:val="002C0BB4"/>
    <w:rsid w:val="002C33FD"/>
    <w:rsid w:val="002C3573"/>
    <w:rsid w:val="002C4BB0"/>
    <w:rsid w:val="002C4EF6"/>
    <w:rsid w:val="002C6A54"/>
    <w:rsid w:val="002C716A"/>
    <w:rsid w:val="002D0261"/>
    <w:rsid w:val="002D3815"/>
    <w:rsid w:val="002D5843"/>
    <w:rsid w:val="002D5C8F"/>
    <w:rsid w:val="002E331B"/>
    <w:rsid w:val="002E3BD4"/>
    <w:rsid w:val="002E3EFE"/>
    <w:rsid w:val="002E5E1E"/>
    <w:rsid w:val="002E6121"/>
    <w:rsid w:val="002E6A59"/>
    <w:rsid w:val="002F0ACA"/>
    <w:rsid w:val="002F1C6E"/>
    <w:rsid w:val="002F3141"/>
    <w:rsid w:val="002F32F4"/>
    <w:rsid w:val="00300DE1"/>
    <w:rsid w:val="00305D25"/>
    <w:rsid w:val="0030681F"/>
    <w:rsid w:val="00307976"/>
    <w:rsid w:val="00310412"/>
    <w:rsid w:val="003107C4"/>
    <w:rsid w:val="00310806"/>
    <w:rsid w:val="003109F0"/>
    <w:rsid w:val="00313C55"/>
    <w:rsid w:val="0031547B"/>
    <w:rsid w:val="003163C5"/>
    <w:rsid w:val="00316934"/>
    <w:rsid w:val="00317129"/>
    <w:rsid w:val="00322B16"/>
    <w:rsid w:val="00324470"/>
    <w:rsid w:val="00324F60"/>
    <w:rsid w:val="00325B0B"/>
    <w:rsid w:val="00325F0B"/>
    <w:rsid w:val="003302C7"/>
    <w:rsid w:val="00330BC5"/>
    <w:rsid w:val="00333240"/>
    <w:rsid w:val="003340BD"/>
    <w:rsid w:val="00334587"/>
    <w:rsid w:val="00335E70"/>
    <w:rsid w:val="00336114"/>
    <w:rsid w:val="00336434"/>
    <w:rsid w:val="0033733D"/>
    <w:rsid w:val="0033748A"/>
    <w:rsid w:val="003427ED"/>
    <w:rsid w:val="00343CB5"/>
    <w:rsid w:val="00345368"/>
    <w:rsid w:val="00347E81"/>
    <w:rsid w:val="0035056E"/>
    <w:rsid w:val="003505AA"/>
    <w:rsid w:val="00351E9C"/>
    <w:rsid w:val="003527E6"/>
    <w:rsid w:val="003545A8"/>
    <w:rsid w:val="003556B6"/>
    <w:rsid w:val="00355AAB"/>
    <w:rsid w:val="00356621"/>
    <w:rsid w:val="0035758B"/>
    <w:rsid w:val="00362834"/>
    <w:rsid w:val="0036355E"/>
    <w:rsid w:val="00363C9D"/>
    <w:rsid w:val="0036426F"/>
    <w:rsid w:val="00367190"/>
    <w:rsid w:val="003719F9"/>
    <w:rsid w:val="00372A42"/>
    <w:rsid w:val="00373305"/>
    <w:rsid w:val="003743A1"/>
    <w:rsid w:val="00380838"/>
    <w:rsid w:val="003820AC"/>
    <w:rsid w:val="00382B68"/>
    <w:rsid w:val="00382F1C"/>
    <w:rsid w:val="0038671A"/>
    <w:rsid w:val="00386E2D"/>
    <w:rsid w:val="003902E5"/>
    <w:rsid w:val="003957D4"/>
    <w:rsid w:val="003A01C1"/>
    <w:rsid w:val="003A2D37"/>
    <w:rsid w:val="003A3B1F"/>
    <w:rsid w:val="003A4D50"/>
    <w:rsid w:val="003B071F"/>
    <w:rsid w:val="003B0BEA"/>
    <w:rsid w:val="003B14BC"/>
    <w:rsid w:val="003B19BD"/>
    <w:rsid w:val="003B2E3C"/>
    <w:rsid w:val="003B68CA"/>
    <w:rsid w:val="003B6C3E"/>
    <w:rsid w:val="003B714F"/>
    <w:rsid w:val="003B7BAE"/>
    <w:rsid w:val="003C1C60"/>
    <w:rsid w:val="003C422D"/>
    <w:rsid w:val="003C698D"/>
    <w:rsid w:val="003C71C8"/>
    <w:rsid w:val="003C7ACA"/>
    <w:rsid w:val="003D0444"/>
    <w:rsid w:val="003D1C86"/>
    <w:rsid w:val="003D5CDF"/>
    <w:rsid w:val="003E179B"/>
    <w:rsid w:val="003E58D9"/>
    <w:rsid w:val="003E6B27"/>
    <w:rsid w:val="003E7550"/>
    <w:rsid w:val="003F3C4D"/>
    <w:rsid w:val="003F43DB"/>
    <w:rsid w:val="003F7171"/>
    <w:rsid w:val="003F7537"/>
    <w:rsid w:val="003F75BF"/>
    <w:rsid w:val="004001DB"/>
    <w:rsid w:val="00400906"/>
    <w:rsid w:val="00403321"/>
    <w:rsid w:val="00403F03"/>
    <w:rsid w:val="0040546C"/>
    <w:rsid w:val="00406068"/>
    <w:rsid w:val="004072E0"/>
    <w:rsid w:val="0040782B"/>
    <w:rsid w:val="00407860"/>
    <w:rsid w:val="00407984"/>
    <w:rsid w:val="004120CD"/>
    <w:rsid w:val="00414971"/>
    <w:rsid w:val="00415740"/>
    <w:rsid w:val="00415BD6"/>
    <w:rsid w:val="00416B53"/>
    <w:rsid w:val="004221D3"/>
    <w:rsid w:val="00423E5E"/>
    <w:rsid w:val="00426E69"/>
    <w:rsid w:val="00426F9B"/>
    <w:rsid w:val="00430510"/>
    <w:rsid w:val="00430818"/>
    <w:rsid w:val="00430E21"/>
    <w:rsid w:val="00430EC0"/>
    <w:rsid w:val="00432BD1"/>
    <w:rsid w:val="00432CCD"/>
    <w:rsid w:val="004372CC"/>
    <w:rsid w:val="00442C4E"/>
    <w:rsid w:val="00443D5A"/>
    <w:rsid w:val="00444521"/>
    <w:rsid w:val="00444E82"/>
    <w:rsid w:val="00444F7B"/>
    <w:rsid w:val="0044540A"/>
    <w:rsid w:val="00445AD7"/>
    <w:rsid w:val="00445D33"/>
    <w:rsid w:val="0044684A"/>
    <w:rsid w:val="00450371"/>
    <w:rsid w:val="004531E8"/>
    <w:rsid w:val="00453283"/>
    <w:rsid w:val="0045618D"/>
    <w:rsid w:val="0045670D"/>
    <w:rsid w:val="00456AE3"/>
    <w:rsid w:val="00457510"/>
    <w:rsid w:val="0045756C"/>
    <w:rsid w:val="00460940"/>
    <w:rsid w:val="004610E8"/>
    <w:rsid w:val="0046206D"/>
    <w:rsid w:val="00462710"/>
    <w:rsid w:val="0046363C"/>
    <w:rsid w:val="004643F4"/>
    <w:rsid w:val="004657A6"/>
    <w:rsid w:val="004750E9"/>
    <w:rsid w:val="00475A1A"/>
    <w:rsid w:val="004770A5"/>
    <w:rsid w:val="00480759"/>
    <w:rsid w:val="00481948"/>
    <w:rsid w:val="00487B18"/>
    <w:rsid w:val="0049401F"/>
    <w:rsid w:val="0049442D"/>
    <w:rsid w:val="0049483F"/>
    <w:rsid w:val="00497E07"/>
    <w:rsid w:val="004A0EE7"/>
    <w:rsid w:val="004A107C"/>
    <w:rsid w:val="004A3298"/>
    <w:rsid w:val="004A600B"/>
    <w:rsid w:val="004A666F"/>
    <w:rsid w:val="004A67AE"/>
    <w:rsid w:val="004A7387"/>
    <w:rsid w:val="004B1700"/>
    <w:rsid w:val="004B18CF"/>
    <w:rsid w:val="004B3AEE"/>
    <w:rsid w:val="004B57D3"/>
    <w:rsid w:val="004B58A9"/>
    <w:rsid w:val="004B67B3"/>
    <w:rsid w:val="004B7B8D"/>
    <w:rsid w:val="004C0ACF"/>
    <w:rsid w:val="004C1207"/>
    <w:rsid w:val="004C126A"/>
    <w:rsid w:val="004C2A9C"/>
    <w:rsid w:val="004C3D40"/>
    <w:rsid w:val="004C47AB"/>
    <w:rsid w:val="004C5FBB"/>
    <w:rsid w:val="004C7531"/>
    <w:rsid w:val="004D0378"/>
    <w:rsid w:val="004D0475"/>
    <w:rsid w:val="004D0F1D"/>
    <w:rsid w:val="004D1BA0"/>
    <w:rsid w:val="004D1DAA"/>
    <w:rsid w:val="004D5CF3"/>
    <w:rsid w:val="004D61C4"/>
    <w:rsid w:val="004D7E5C"/>
    <w:rsid w:val="004E0454"/>
    <w:rsid w:val="004E0538"/>
    <w:rsid w:val="004E0A7C"/>
    <w:rsid w:val="004E1BBD"/>
    <w:rsid w:val="004E2A7B"/>
    <w:rsid w:val="004E2FDD"/>
    <w:rsid w:val="004E3964"/>
    <w:rsid w:val="004E4453"/>
    <w:rsid w:val="004F201A"/>
    <w:rsid w:val="004F492F"/>
    <w:rsid w:val="004F4A05"/>
    <w:rsid w:val="004F6089"/>
    <w:rsid w:val="004F6DD7"/>
    <w:rsid w:val="004F753D"/>
    <w:rsid w:val="004F7DCF"/>
    <w:rsid w:val="00502567"/>
    <w:rsid w:val="0050415E"/>
    <w:rsid w:val="00505ED6"/>
    <w:rsid w:val="0050625F"/>
    <w:rsid w:val="00506A1C"/>
    <w:rsid w:val="00507336"/>
    <w:rsid w:val="00510AC7"/>
    <w:rsid w:val="00511BF1"/>
    <w:rsid w:val="00512535"/>
    <w:rsid w:val="00512D17"/>
    <w:rsid w:val="00513CBD"/>
    <w:rsid w:val="00515773"/>
    <w:rsid w:val="00517528"/>
    <w:rsid w:val="00517705"/>
    <w:rsid w:val="00520F84"/>
    <w:rsid w:val="00521884"/>
    <w:rsid w:val="00521B62"/>
    <w:rsid w:val="00523BE0"/>
    <w:rsid w:val="00524DB8"/>
    <w:rsid w:val="0052702E"/>
    <w:rsid w:val="00533665"/>
    <w:rsid w:val="00534896"/>
    <w:rsid w:val="00536853"/>
    <w:rsid w:val="00536C12"/>
    <w:rsid w:val="005424F9"/>
    <w:rsid w:val="0054411C"/>
    <w:rsid w:val="00544C94"/>
    <w:rsid w:val="00546310"/>
    <w:rsid w:val="0055038B"/>
    <w:rsid w:val="0055234E"/>
    <w:rsid w:val="0055341E"/>
    <w:rsid w:val="00556270"/>
    <w:rsid w:val="005569E3"/>
    <w:rsid w:val="00562F06"/>
    <w:rsid w:val="0056473F"/>
    <w:rsid w:val="0056509A"/>
    <w:rsid w:val="00565333"/>
    <w:rsid w:val="0056541A"/>
    <w:rsid w:val="00565E3A"/>
    <w:rsid w:val="0056618D"/>
    <w:rsid w:val="00566F51"/>
    <w:rsid w:val="00570D65"/>
    <w:rsid w:val="0057180D"/>
    <w:rsid w:val="00571829"/>
    <w:rsid w:val="00572200"/>
    <w:rsid w:val="00573266"/>
    <w:rsid w:val="0057435B"/>
    <w:rsid w:val="00582564"/>
    <w:rsid w:val="005831A4"/>
    <w:rsid w:val="0058491A"/>
    <w:rsid w:val="00584F1F"/>
    <w:rsid w:val="005856A5"/>
    <w:rsid w:val="00590493"/>
    <w:rsid w:val="00590545"/>
    <w:rsid w:val="00590811"/>
    <w:rsid w:val="00590EA9"/>
    <w:rsid w:val="00591A79"/>
    <w:rsid w:val="00591AFC"/>
    <w:rsid w:val="0059373E"/>
    <w:rsid w:val="00594C1C"/>
    <w:rsid w:val="005965C4"/>
    <w:rsid w:val="00597029"/>
    <w:rsid w:val="005A0138"/>
    <w:rsid w:val="005A108C"/>
    <w:rsid w:val="005A48E2"/>
    <w:rsid w:val="005B1C7F"/>
    <w:rsid w:val="005B232D"/>
    <w:rsid w:val="005B3028"/>
    <w:rsid w:val="005B3127"/>
    <w:rsid w:val="005B319B"/>
    <w:rsid w:val="005B422B"/>
    <w:rsid w:val="005B5383"/>
    <w:rsid w:val="005B5992"/>
    <w:rsid w:val="005B6172"/>
    <w:rsid w:val="005B6831"/>
    <w:rsid w:val="005C02EC"/>
    <w:rsid w:val="005C14ED"/>
    <w:rsid w:val="005C4071"/>
    <w:rsid w:val="005C64BB"/>
    <w:rsid w:val="005C732F"/>
    <w:rsid w:val="005D245B"/>
    <w:rsid w:val="005D43C5"/>
    <w:rsid w:val="005D5BA6"/>
    <w:rsid w:val="005D5F1B"/>
    <w:rsid w:val="005D69F3"/>
    <w:rsid w:val="005D7847"/>
    <w:rsid w:val="005E19AD"/>
    <w:rsid w:val="005E2B82"/>
    <w:rsid w:val="005E3B4B"/>
    <w:rsid w:val="005E5CC6"/>
    <w:rsid w:val="005E5F7B"/>
    <w:rsid w:val="005E61C9"/>
    <w:rsid w:val="005E7793"/>
    <w:rsid w:val="005E7BCB"/>
    <w:rsid w:val="005F16D2"/>
    <w:rsid w:val="005F24F8"/>
    <w:rsid w:val="005F3269"/>
    <w:rsid w:val="005F3F7B"/>
    <w:rsid w:val="005F6CE1"/>
    <w:rsid w:val="005F74B9"/>
    <w:rsid w:val="00604881"/>
    <w:rsid w:val="00605474"/>
    <w:rsid w:val="00606129"/>
    <w:rsid w:val="006070E9"/>
    <w:rsid w:val="00607B38"/>
    <w:rsid w:val="00607F86"/>
    <w:rsid w:val="00610BA5"/>
    <w:rsid w:val="00613CB0"/>
    <w:rsid w:val="0061481E"/>
    <w:rsid w:val="00614938"/>
    <w:rsid w:val="00614DCF"/>
    <w:rsid w:val="00615476"/>
    <w:rsid w:val="006155E4"/>
    <w:rsid w:val="006164F4"/>
    <w:rsid w:val="00617A2E"/>
    <w:rsid w:val="00620A60"/>
    <w:rsid w:val="0062462C"/>
    <w:rsid w:val="006248EA"/>
    <w:rsid w:val="00626423"/>
    <w:rsid w:val="00630DD2"/>
    <w:rsid w:val="00630F92"/>
    <w:rsid w:val="006315F1"/>
    <w:rsid w:val="00632928"/>
    <w:rsid w:val="00633900"/>
    <w:rsid w:val="0063481A"/>
    <w:rsid w:val="00636F06"/>
    <w:rsid w:val="00640FAD"/>
    <w:rsid w:val="00642E09"/>
    <w:rsid w:val="00644827"/>
    <w:rsid w:val="006505F2"/>
    <w:rsid w:val="00651449"/>
    <w:rsid w:val="006515B5"/>
    <w:rsid w:val="00651BD0"/>
    <w:rsid w:val="00652BF3"/>
    <w:rsid w:val="006546C1"/>
    <w:rsid w:val="00663581"/>
    <w:rsid w:val="00663628"/>
    <w:rsid w:val="00665B2F"/>
    <w:rsid w:val="00665FEE"/>
    <w:rsid w:val="00667D3E"/>
    <w:rsid w:val="006700D1"/>
    <w:rsid w:val="00671D28"/>
    <w:rsid w:val="00674D20"/>
    <w:rsid w:val="006753D3"/>
    <w:rsid w:val="00675BCA"/>
    <w:rsid w:val="006766D8"/>
    <w:rsid w:val="00681562"/>
    <w:rsid w:val="006819F9"/>
    <w:rsid w:val="00682275"/>
    <w:rsid w:val="00684B32"/>
    <w:rsid w:val="00685A1C"/>
    <w:rsid w:val="006956DD"/>
    <w:rsid w:val="006956E5"/>
    <w:rsid w:val="006A1CDD"/>
    <w:rsid w:val="006A27BE"/>
    <w:rsid w:val="006A45FC"/>
    <w:rsid w:val="006A7848"/>
    <w:rsid w:val="006B09C7"/>
    <w:rsid w:val="006B16CF"/>
    <w:rsid w:val="006B294F"/>
    <w:rsid w:val="006B4960"/>
    <w:rsid w:val="006B7A3A"/>
    <w:rsid w:val="006C08F8"/>
    <w:rsid w:val="006C1675"/>
    <w:rsid w:val="006C2422"/>
    <w:rsid w:val="006C587E"/>
    <w:rsid w:val="006C6C26"/>
    <w:rsid w:val="006D1101"/>
    <w:rsid w:val="006D2DC7"/>
    <w:rsid w:val="006D4C58"/>
    <w:rsid w:val="006D691C"/>
    <w:rsid w:val="006D6A3C"/>
    <w:rsid w:val="006E0EA6"/>
    <w:rsid w:val="006E0F48"/>
    <w:rsid w:val="006E1135"/>
    <w:rsid w:val="006E1A41"/>
    <w:rsid w:val="006E3692"/>
    <w:rsid w:val="006E3871"/>
    <w:rsid w:val="006E4678"/>
    <w:rsid w:val="006E577A"/>
    <w:rsid w:val="006E60B3"/>
    <w:rsid w:val="006E6D91"/>
    <w:rsid w:val="006F3853"/>
    <w:rsid w:val="006F39F8"/>
    <w:rsid w:val="006F3CCC"/>
    <w:rsid w:val="006F5063"/>
    <w:rsid w:val="006F786B"/>
    <w:rsid w:val="00704F4E"/>
    <w:rsid w:val="00706BCE"/>
    <w:rsid w:val="00707DDA"/>
    <w:rsid w:val="00713608"/>
    <w:rsid w:val="007136AE"/>
    <w:rsid w:val="00715D54"/>
    <w:rsid w:val="0071695C"/>
    <w:rsid w:val="00721953"/>
    <w:rsid w:val="007247DE"/>
    <w:rsid w:val="00727A7F"/>
    <w:rsid w:val="00727F2A"/>
    <w:rsid w:val="00730A40"/>
    <w:rsid w:val="00731028"/>
    <w:rsid w:val="0073116F"/>
    <w:rsid w:val="00733503"/>
    <w:rsid w:val="007342D4"/>
    <w:rsid w:val="007350A5"/>
    <w:rsid w:val="007354F5"/>
    <w:rsid w:val="00735916"/>
    <w:rsid w:val="00736CB7"/>
    <w:rsid w:val="00736E11"/>
    <w:rsid w:val="0074316B"/>
    <w:rsid w:val="00746A7C"/>
    <w:rsid w:val="0074722E"/>
    <w:rsid w:val="00750409"/>
    <w:rsid w:val="00751A61"/>
    <w:rsid w:val="00752957"/>
    <w:rsid w:val="0075608C"/>
    <w:rsid w:val="00757E0D"/>
    <w:rsid w:val="007603E8"/>
    <w:rsid w:val="007618C3"/>
    <w:rsid w:val="0076372F"/>
    <w:rsid w:val="00763F6D"/>
    <w:rsid w:val="00767783"/>
    <w:rsid w:val="00767FA4"/>
    <w:rsid w:val="007715D4"/>
    <w:rsid w:val="00772099"/>
    <w:rsid w:val="007762A1"/>
    <w:rsid w:val="00777A83"/>
    <w:rsid w:val="00780C76"/>
    <w:rsid w:val="00781151"/>
    <w:rsid w:val="00782277"/>
    <w:rsid w:val="00782390"/>
    <w:rsid w:val="00782F94"/>
    <w:rsid w:val="00783500"/>
    <w:rsid w:val="00784304"/>
    <w:rsid w:val="00786B43"/>
    <w:rsid w:val="00787D6C"/>
    <w:rsid w:val="00791C0F"/>
    <w:rsid w:val="00792CE3"/>
    <w:rsid w:val="007939F5"/>
    <w:rsid w:val="00794669"/>
    <w:rsid w:val="00796450"/>
    <w:rsid w:val="007965AA"/>
    <w:rsid w:val="007A008C"/>
    <w:rsid w:val="007A095C"/>
    <w:rsid w:val="007A1426"/>
    <w:rsid w:val="007A6BB3"/>
    <w:rsid w:val="007B4D06"/>
    <w:rsid w:val="007B568A"/>
    <w:rsid w:val="007B5764"/>
    <w:rsid w:val="007B5B61"/>
    <w:rsid w:val="007B6162"/>
    <w:rsid w:val="007B61EB"/>
    <w:rsid w:val="007B62BC"/>
    <w:rsid w:val="007B6DC1"/>
    <w:rsid w:val="007B7E8B"/>
    <w:rsid w:val="007C1604"/>
    <w:rsid w:val="007C2FA0"/>
    <w:rsid w:val="007C4005"/>
    <w:rsid w:val="007C519B"/>
    <w:rsid w:val="007C79B7"/>
    <w:rsid w:val="007D023A"/>
    <w:rsid w:val="007D1999"/>
    <w:rsid w:val="007D2DDC"/>
    <w:rsid w:val="007D4712"/>
    <w:rsid w:val="007D4EE8"/>
    <w:rsid w:val="007D6407"/>
    <w:rsid w:val="007D7986"/>
    <w:rsid w:val="007E0934"/>
    <w:rsid w:val="007E3722"/>
    <w:rsid w:val="007E77F9"/>
    <w:rsid w:val="007F059B"/>
    <w:rsid w:val="007F0BFD"/>
    <w:rsid w:val="007F109D"/>
    <w:rsid w:val="007F2AF7"/>
    <w:rsid w:val="007F3846"/>
    <w:rsid w:val="007F5419"/>
    <w:rsid w:val="007F79A5"/>
    <w:rsid w:val="007F7F1F"/>
    <w:rsid w:val="00803560"/>
    <w:rsid w:val="008054A1"/>
    <w:rsid w:val="00806D37"/>
    <w:rsid w:val="00810E7E"/>
    <w:rsid w:val="008146CA"/>
    <w:rsid w:val="00814BFD"/>
    <w:rsid w:val="00814C2A"/>
    <w:rsid w:val="00816BCF"/>
    <w:rsid w:val="00816DA2"/>
    <w:rsid w:val="00820871"/>
    <w:rsid w:val="00821FBC"/>
    <w:rsid w:val="00821FC8"/>
    <w:rsid w:val="00822C81"/>
    <w:rsid w:val="0082346A"/>
    <w:rsid w:val="008245DA"/>
    <w:rsid w:val="008263CD"/>
    <w:rsid w:val="00826674"/>
    <w:rsid w:val="008319D8"/>
    <w:rsid w:val="008326F5"/>
    <w:rsid w:val="00832FB2"/>
    <w:rsid w:val="008349AF"/>
    <w:rsid w:val="00835393"/>
    <w:rsid w:val="00835E3E"/>
    <w:rsid w:val="008363C7"/>
    <w:rsid w:val="00837BCF"/>
    <w:rsid w:val="0084189E"/>
    <w:rsid w:val="008449EA"/>
    <w:rsid w:val="00844DDE"/>
    <w:rsid w:val="00845911"/>
    <w:rsid w:val="00846847"/>
    <w:rsid w:val="00847C11"/>
    <w:rsid w:val="008504A2"/>
    <w:rsid w:val="00850AA4"/>
    <w:rsid w:val="0085215C"/>
    <w:rsid w:val="00852454"/>
    <w:rsid w:val="00854F94"/>
    <w:rsid w:val="00856CDC"/>
    <w:rsid w:val="00866261"/>
    <w:rsid w:val="00866DA5"/>
    <w:rsid w:val="0086791A"/>
    <w:rsid w:val="00867CE9"/>
    <w:rsid w:val="0087223E"/>
    <w:rsid w:val="00872364"/>
    <w:rsid w:val="00872B2D"/>
    <w:rsid w:val="00874C5D"/>
    <w:rsid w:val="00875F8A"/>
    <w:rsid w:val="00876E35"/>
    <w:rsid w:val="0087758F"/>
    <w:rsid w:val="00880865"/>
    <w:rsid w:val="00880EA7"/>
    <w:rsid w:val="0088189F"/>
    <w:rsid w:val="00881EC1"/>
    <w:rsid w:val="0088221A"/>
    <w:rsid w:val="00882956"/>
    <w:rsid w:val="008847F5"/>
    <w:rsid w:val="008851B6"/>
    <w:rsid w:val="00886AD4"/>
    <w:rsid w:val="0089033B"/>
    <w:rsid w:val="0089086A"/>
    <w:rsid w:val="00891A03"/>
    <w:rsid w:val="00891B08"/>
    <w:rsid w:val="00894ECF"/>
    <w:rsid w:val="0089575B"/>
    <w:rsid w:val="00896C32"/>
    <w:rsid w:val="00896CA5"/>
    <w:rsid w:val="008A2C12"/>
    <w:rsid w:val="008A2DB2"/>
    <w:rsid w:val="008A361C"/>
    <w:rsid w:val="008B0D00"/>
    <w:rsid w:val="008B324D"/>
    <w:rsid w:val="008B4849"/>
    <w:rsid w:val="008B4A39"/>
    <w:rsid w:val="008B675B"/>
    <w:rsid w:val="008C090A"/>
    <w:rsid w:val="008C4036"/>
    <w:rsid w:val="008C45EB"/>
    <w:rsid w:val="008C4F55"/>
    <w:rsid w:val="008C6B33"/>
    <w:rsid w:val="008D240B"/>
    <w:rsid w:val="008D4278"/>
    <w:rsid w:val="008D53A8"/>
    <w:rsid w:val="008D5FD3"/>
    <w:rsid w:val="008E1541"/>
    <w:rsid w:val="008E1AB2"/>
    <w:rsid w:val="008E24D5"/>
    <w:rsid w:val="008E2DD3"/>
    <w:rsid w:val="008E3128"/>
    <w:rsid w:val="008E3481"/>
    <w:rsid w:val="008F2267"/>
    <w:rsid w:val="008F3A4E"/>
    <w:rsid w:val="008F5617"/>
    <w:rsid w:val="008F74AB"/>
    <w:rsid w:val="008F79AD"/>
    <w:rsid w:val="00903513"/>
    <w:rsid w:val="009073AB"/>
    <w:rsid w:val="00913871"/>
    <w:rsid w:val="00913D13"/>
    <w:rsid w:val="00913D9D"/>
    <w:rsid w:val="009203EE"/>
    <w:rsid w:val="00920C4A"/>
    <w:rsid w:val="00921646"/>
    <w:rsid w:val="00921859"/>
    <w:rsid w:val="00921C62"/>
    <w:rsid w:val="00923245"/>
    <w:rsid w:val="00923542"/>
    <w:rsid w:val="009246B1"/>
    <w:rsid w:val="00925374"/>
    <w:rsid w:val="00925D28"/>
    <w:rsid w:val="00926EC2"/>
    <w:rsid w:val="00931B9B"/>
    <w:rsid w:val="00931D7F"/>
    <w:rsid w:val="0093381F"/>
    <w:rsid w:val="00933A7F"/>
    <w:rsid w:val="009373B2"/>
    <w:rsid w:val="00940C23"/>
    <w:rsid w:val="00941130"/>
    <w:rsid w:val="00942C5A"/>
    <w:rsid w:val="00944703"/>
    <w:rsid w:val="00944C12"/>
    <w:rsid w:val="0094511B"/>
    <w:rsid w:val="0094513E"/>
    <w:rsid w:val="00945DAC"/>
    <w:rsid w:val="009508F1"/>
    <w:rsid w:val="0095359B"/>
    <w:rsid w:val="00953B47"/>
    <w:rsid w:val="009544D8"/>
    <w:rsid w:val="009547FA"/>
    <w:rsid w:val="00955F6E"/>
    <w:rsid w:val="00957504"/>
    <w:rsid w:val="00963345"/>
    <w:rsid w:val="009645AB"/>
    <w:rsid w:val="009647E8"/>
    <w:rsid w:val="00965113"/>
    <w:rsid w:val="00965590"/>
    <w:rsid w:val="009665A6"/>
    <w:rsid w:val="00966737"/>
    <w:rsid w:val="00966A93"/>
    <w:rsid w:val="0097587E"/>
    <w:rsid w:val="00982FAA"/>
    <w:rsid w:val="00983AAC"/>
    <w:rsid w:val="0098456C"/>
    <w:rsid w:val="009854C7"/>
    <w:rsid w:val="00985A8F"/>
    <w:rsid w:val="00986317"/>
    <w:rsid w:val="0099020F"/>
    <w:rsid w:val="00990427"/>
    <w:rsid w:val="00990F47"/>
    <w:rsid w:val="00991582"/>
    <w:rsid w:val="00991B0F"/>
    <w:rsid w:val="00992199"/>
    <w:rsid w:val="0099382B"/>
    <w:rsid w:val="00993C5D"/>
    <w:rsid w:val="009944A6"/>
    <w:rsid w:val="009944B4"/>
    <w:rsid w:val="0099469D"/>
    <w:rsid w:val="00995931"/>
    <w:rsid w:val="009963F6"/>
    <w:rsid w:val="0099745A"/>
    <w:rsid w:val="00997A3F"/>
    <w:rsid w:val="009A0611"/>
    <w:rsid w:val="009A0B59"/>
    <w:rsid w:val="009A1213"/>
    <w:rsid w:val="009A157A"/>
    <w:rsid w:val="009A5435"/>
    <w:rsid w:val="009A5AD0"/>
    <w:rsid w:val="009A73FE"/>
    <w:rsid w:val="009B131D"/>
    <w:rsid w:val="009B3223"/>
    <w:rsid w:val="009B3414"/>
    <w:rsid w:val="009B5688"/>
    <w:rsid w:val="009B5FAE"/>
    <w:rsid w:val="009B6DA5"/>
    <w:rsid w:val="009B7AA7"/>
    <w:rsid w:val="009B7F3C"/>
    <w:rsid w:val="009C0426"/>
    <w:rsid w:val="009C076B"/>
    <w:rsid w:val="009C2634"/>
    <w:rsid w:val="009C33E9"/>
    <w:rsid w:val="009C353A"/>
    <w:rsid w:val="009C361E"/>
    <w:rsid w:val="009C49B9"/>
    <w:rsid w:val="009C666B"/>
    <w:rsid w:val="009C69DA"/>
    <w:rsid w:val="009C6C7C"/>
    <w:rsid w:val="009D1EA3"/>
    <w:rsid w:val="009D3252"/>
    <w:rsid w:val="009D4D8C"/>
    <w:rsid w:val="009D6DE4"/>
    <w:rsid w:val="009D6E1E"/>
    <w:rsid w:val="009D7FF8"/>
    <w:rsid w:val="009E19C6"/>
    <w:rsid w:val="009E1AD1"/>
    <w:rsid w:val="009E2779"/>
    <w:rsid w:val="009E3C20"/>
    <w:rsid w:val="009E553E"/>
    <w:rsid w:val="009E61F0"/>
    <w:rsid w:val="009E6AD6"/>
    <w:rsid w:val="009E7710"/>
    <w:rsid w:val="009F073B"/>
    <w:rsid w:val="009F264F"/>
    <w:rsid w:val="009F285A"/>
    <w:rsid w:val="009F46BB"/>
    <w:rsid w:val="009F4C97"/>
    <w:rsid w:val="009F597E"/>
    <w:rsid w:val="009F68D6"/>
    <w:rsid w:val="00A01637"/>
    <w:rsid w:val="00A02743"/>
    <w:rsid w:val="00A028F8"/>
    <w:rsid w:val="00A03B45"/>
    <w:rsid w:val="00A05481"/>
    <w:rsid w:val="00A06A5D"/>
    <w:rsid w:val="00A13E2D"/>
    <w:rsid w:val="00A1523B"/>
    <w:rsid w:val="00A15576"/>
    <w:rsid w:val="00A163DF"/>
    <w:rsid w:val="00A200D4"/>
    <w:rsid w:val="00A20727"/>
    <w:rsid w:val="00A20DB6"/>
    <w:rsid w:val="00A22E35"/>
    <w:rsid w:val="00A241DE"/>
    <w:rsid w:val="00A2507E"/>
    <w:rsid w:val="00A27E6D"/>
    <w:rsid w:val="00A319E3"/>
    <w:rsid w:val="00A33087"/>
    <w:rsid w:val="00A33536"/>
    <w:rsid w:val="00A36EFA"/>
    <w:rsid w:val="00A37400"/>
    <w:rsid w:val="00A37C93"/>
    <w:rsid w:val="00A464ED"/>
    <w:rsid w:val="00A50B0A"/>
    <w:rsid w:val="00A51610"/>
    <w:rsid w:val="00A520E6"/>
    <w:rsid w:val="00A546F1"/>
    <w:rsid w:val="00A55B82"/>
    <w:rsid w:val="00A60B66"/>
    <w:rsid w:val="00A616CD"/>
    <w:rsid w:val="00A619DB"/>
    <w:rsid w:val="00A62D5B"/>
    <w:rsid w:val="00A63565"/>
    <w:rsid w:val="00A65A9B"/>
    <w:rsid w:val="00A666BF"/>
    <w:rsid w:val="00A66E79"/>
    <w:rsid w:val="00A7289E"/>
    <w:rsid w:val="00A7513C"/>
    <w:rsid w:val="00A759E6"/>
    <w:rsid w:val="00A819D5"/>
    <w:rsid w:val="00A81BF6"/>
    <w:rsid w:val="00A81C77"/>
    <w:rsid w:val="00A84B1F"/>
    <w:rsid w:val="00A86B16"/>
    <w:rsid w:val="00A86B67"/>
    <w:rsid w:val="00A90CDC"/>
    <w:rsid w:val="00A90E0D"/>
    <w:rsid w:val="00A9137C"/>
    <w:rsid w:val="00A945BE"/>
    <w:rsid w:val="00A96B5A"/>
    <w:rsid w:val="00AA01DA"/>
    <w:rsid w:val="00AA17BC"/>
    <w:rsid w:val="00AA2CD2"/>
    <w:rsid w:val="00AA331D"/>
    <w:rsid w:val="00AA488F"/>
    <w:rsid w:val="00AB0010"/>
    <w:rsid w:val="00AB1BF4"/>
    <w:rsid w:val="00AB2070"/>
    <w:rsid w:val="00AB2444"/>
    <w:rsid w:val="00AB2C98"/>
    <w:rsid w:val="00AB2CDB"/>
    <w:rsid w:val="00AB2E6C"/>
    <w:rsid w:val="00AB51F5"/>
    <w:rsid w:val="00AB700F"/>
    <w:rsid w:val="00AC12A2"/>
    <w:rsid w:val="00AC39CD"/>
    <w:rsid w:val="00AC3E96"/>
    <w:rsid w:val="00AC49AA"/>
    <w:rsid w:val="00AC5E5D"/>
    <w:rsid w:val="00AC5ED1"/>
    <w:rsid w:val="00AC7445"/>
    <w:rsid w:val="00AC77C3"/>
    <w:rsid w:val="00AC781D"/>
    <w:rsid w:val="00AD04A5"/>
    <w:rsid w:val="00AD0999"/>
    <w:rsid w:val="00AD2DD4"/>
    <w:rsid w:val="00AD3759"/>
    <w:rsid w:val="00AD46FE"/>
    <w:rsid w:val="00AD5FEB"/>
    <w:rsid w:val="00AD6C63"/>
    <w:rsid w:val="00AE181E"/>
    <w:rsid w:val="00AE18FE"/>
    <w:rsid w:val="00AE2C70"/>
    <w:rsid w:val="00AE4432"/>
    <w:rsid w:val="00AE6D09"/>
    <w:rsid w:val="00AF148C"/>
    <w:rsid w:val="00AF14CA"/>
    <w:rsid w:val="00AF1A36"/>
    <w:rsid w:val="00AF3E3C"/>
    <w:rsid w:val="00AF478F"/>
    <w:rsid w:val="00AF4A7E"/>
    <w:rsid w:val="00B030D1"/>
    <w:rsid w:val="00B06DDB"/>
    <w:rsid w:val="00B07065"/>
    <w:rsid w:val="00B2023C"/>
    <w:rsid w:val="00B20A80"/>
    <w:rsid w:val="00B225E2"/>
    <w:rsid w:val="00B23548"/>
    <w:rsid w:val="00B2679E"/>
    <w:rsid w:val="00B37264"/>
    <w:rsid w:val="00B376D1"/>
    <w:rsid w:val="00B37C50"/>
    <w:rsid w:val="00B42221"/>
    <w:rsid w:val="00B44A67"/>
    <w:rsid w:val="00B47A18"/>
    <w:rsid w:val="00B50D26"/>
    <w:rsid w:val="00B5274C"/>
    <w:rsid w:val="00B54A7C"/>
    <w:rsid w:val="00B54BFF"/>
    <w:rsid w:val="00B57E99"/>
    <w:rsid w:val="00B61728"/>
    <w:rsid w:val="00B62E77"/>
    <w:rsid w:val="00B632B8"/>
    <w:rsid w:val="00B63ADD"/>
    <w:rsid w:val="00B667E3"/>
    <w:rsid w:val="00B702A5"/>
    <w:rsid w:val="00B7229A"/>
    <w:rsid w:val="00B728EF"/>
    <w:rsid w:val="00B80595"/>
    <w:rsid w:val="00B807B3"/>
    <w:rsid w:val="00B836DF"/>
    <w:rsid w:val="00B83DFD"/>
    <w:rsid w:val="00B85B4A"/>
    <w:rsid w:val="00B86ACB"/>
    <w:rsid w:val="00B87C0D"/>
    <w:rsid w:val="00B87E32"/>
    <w:rsid w:val="00B9052A"/>
    <w:rsid w:val="00B91461"/>
    <w:rsid w:val="00B91E75"/>
    <w:rsid w:val="00B96026"/>
    <w:rsid w:val="00B9746F"/>
    <w:rsid w:val="00BA0F8C"/>
    <w:rsid w:val="00BA17FE"/>
    <w:rsid w:val="00BA1CDF"/>
    <w:rsid w:val="00BA3AAA"/>
    <w:rsid w:val="00BA514C"/>
    <w:rsid w:val="00BA524E"/>
    <w:rsid w:val="00BA557E"/>
    <w:rsid w:val="00BA5C72"/>
    <w:rsid w:val="00BA613F"/>
    <w:rsid w:val="00BB196C"/>
    <w:rsid w:val="00BB1AAE"/>
    <w:rsid w:val="00BB23BB"/>
    <w:rsid w:val="00BB61BE"/>
    <w:rsid w:val="00BC002B"/>
    <w:rsid w:val="00BC08C9"/>
    <w:rsid w:val="00BC265E"/>
    <w:rsid w:val="00BC2934"/>
    <w:rsid w:val="00BC358A"/>
    <w:rsid w:val="00BC6F16"/>
    <w:rsid w:val="00BC6FB5"/>
    <w:rsid w:val="00BD07DF"/>
    <w:rsid w:val="00BD0D0B"/>
    <w:rsid w:val="00BD17FD"/>
    <w:rsid w:val="00BD1F88"/>
    <w:rsid w:val="00BD24C1"/>
    <w:rsid w:val="00BD470E"/>
    <w:rsid w:val="00BE19CB"/>
    <w:rsid w:val="00BE2DDF"/>
    <w:rsid w:val="00BE307D"/>
    <w:rsid w:val="00BE37C5"/>
    <w:rsid w:val="00BE43D7"/>
    <w:rsid w:val="00BE4880"/>
    <w:rsid w:val="00BE5B3F"/>
    <w:rsid w:val="00BE7065"/>
    <w:rsid w:val="00BE74FF"/>
    <w:rsid w:val="00BF01FA"/>
    <w:rsid w:val="00BF05F7"/>
    <w:rsid w:val="00BF069F"/>
    <w:rsid w:val="00BF0BB9"/>
    <w:rsid w:val="00BF1BD5"/>
    <w:rsid w:val="00BF5C64"/>
    <w:rsid w:val="00BF73E9"/>
    <w:rsid w:val="00C020D1"/>
    <w:rsid w:val="00C021B7"/>
    <w:rsid w:val="00C02E34"/>
    <w:rsid w:val="00C033C9"/>
    <w:rsid w:val="00C04389"/>
    <w:rsid w:val="00C11A79"/>
    <w:rsid w:val="00C1404E"/>
    <w:rsid w:val="00C146BD"/>
    <w:rsid w:val="00C152B8"/>
    <w:rsid w:val="00C22100"/>
    <w:rsid w:val="00C22AAD"/>
    <w:rsid w:val="00C22E1A"/>
    <w:rsid w:val="00C23932"/>
    <w:rsid w:val="00C23CB5"/>
    <w:rsid w:val="00C27E20"/>
    <w:rsid w:val="00C30CF9"/>
    <w:rsid w:val="00C31F7D"/>
    <w:rsid w:val="00C3205C"/>
    <w:rsid w:val="00C329DE"/>
    <w:rsid w:val="00C32C24"/>
    <w:rsid w:val="00C32EA1"/>
    <w:rsid w:val="00C352EA"/>
    <w:rsid w:val="00C358D7"/>
    <w:rsid w:val="00C40355"/>
    <w:rsid w:val="00C41870"/>
    <w:rsid w:val="00C42FF7"/>
    <w:rsid w:val="00C44E11"/>
    <w:rsid w:val="00C46B17"/>
    <w:rsid w:val="00C47602"/>
    <w:rsid w:val="00C47B3F"/>
    <w:rsid w:val="00C47D6A"/>
    <w:rsid w:val="00C50F6B"/>
    <w:rsid w:val="00C511BE"/>
    <w:rsid w:val="00C5168A"/>
    <w:rsid w:val="00C51F85"/>
    <w:rsid w:val="00C5566F"/>
    <w:rsid w:val="00C57F52"/>
    <w:rsid w:val="00C61471"/>
    <w:rsid w:val="00C61CE2"/>
    <w:rsid w:val="00C639BD"/>
    <w:rsid w:val="00C669BC"/>
    <w:rsid w:val="00C66BD9"/>
    <w:rsid w:val="00C673B0"/>
    <w:rsid w:val="00C67C84"/>
    <w:rsid w:val="00C7097C"/>
    <w:rsid w:val="00C7125E"/>
    <w:rsid w:val="00C7147A"/>
    <w:rsid w:val="00C73DA3"/>
    <w:rsid w:val="00C74A44"/>
    <w:rsid w:val="00C759D8"/>
    <w:rsid w:val="00C75A7C"/>
    <w:rsid w:val="00C76370"/>
    <w:rsid w:val="00C77413"/>
    <w:rsid w:val="00C77DF5"/>
    <w:rsid w:val="00C77E35"/>
    <w:rsid w:val="00C77F78"/>
    <w:rsid w:val="00C80219"/>
    <w:rsid w:val="00C83869"/>
    <w:rsid w:val="00C8600C"/>
    <w:rsid w:val="00C8644A"/>
    <w:rsid w:val="00C91C7F"/>
    <w:rsid w:val="00C9249D"/>
    <w:rsid w:val="00C9259C"/>
    <w:rsid w:val="00C93908"/>
    <w:rsid w:val="00C9397C"/>
    <w:rsid w:val="00C96725"/>
    <w:rsid w:val="00C9777D"/>
    <w:rsid w:val="00CA01B2"/>
    <w:rsid w:val="00CA0704"/>
    <w:rsid w:val="00CA1E7B"/>
    <w:rsid w:val="00CA2807"/>
    <w:rsid w:val="00CA2B4B"/>
    <w:rsid w:val="00CA3AD8"/>
    <w:rsid w:val="00CA5966"/>
    <w:rsid w:val="00CA7894"/>
    <w:rsid w:val="00CA78AA"/>
    <w:rsid w:val="00CB337F"/>
    <w:rsid w:val="00CB4E8D"/>
    <w:rsid w:val="00CB5078"/>
    <w:rsid w:val="00CB5146"/>
    <w:rsid w:val="00CB5E18"/>
    <w:rsid w:val="00CB6AF5"/>
    <w:rsid w:val="00CB73CA"/>
    <w:rsid w:val="00CB765B"/>
    <w:rsid w:val="00CC29B5"/>
    <w:rsid w:val="00CC2F9E"/>
    <w:rsid w:val="00CC488B"/>
    <w:rsid w:val="00CC4AC5"/>
    <w:rsid w:val="00CC6206"/>
    <w:rsid w:val="00CC6993"/>
    <w:rsid w:val="00CC7304"/>
    <w:rsid w:val="00CD14CD"/>
    <w:rsid w:val="00CD1CE7"/>
    <w:rsid w:val="00CD23CF"/>
    <w:rsid w:val="00CD2F2B"/>
    <w:rsid w:val="00CD44A3"/>
    <w:rsid w:val="00CD6221"/>
    <w:rsid w:val="00CD6997"/>
    <w:rsid w:val="00CD79B7"/>
    <w:rsid w:val="00CE6440"/>
    <w:rsid w:val="00CE65D6"/>
    <w:rsid w:val="00CF0728"/>
    <w:rsid w:val="00CF1799"/>
    <w:rsid w:val="00CF4ECF"/>
    <w:rsid w:val="00CF577A"/>
    <w:rsid w:val="00CF5E10"/>
    <w:rsid w:val="00D01984"/>
    <w:rsid w:val="00D02D33"/>
    <w:rsid w:val="00D03B62"/>
    <w:rsid w:val="00D03E92"/>
    <w:rsid w:val="00D06AE4"/>
    <w:rsid w:val="00D071ED"/>
    <w:rsid w:val="00D11728"/>
    <w:rsid w:val="00D12B51"/>
    <w:rsid w:val="00D13019"/>
    <w:rsid w:val="00D13C02"/>
    <w:rsid w:val="00D13F3E"/>
    <w:rsid w:val="00D1740C"/>
    <w:rsid w:val="00D21A7C"/>
    <w:rsid w:val="00D23169"/>
    <w:rsid w:val="00D241D8"/>
    <w:rsid w:val="00D25858"/>
    <w:rsid w:val="00D26826"/>
    <w:rsid w:val="00D27C88"/>
    <w:rsid w:val="00D27CF0"/>
    <w:rsid w:val="00D31552"/>
    <w:rsid w:val="00D31677"/>
    <w:rsid w:val="00D31AB5"/>
    <w:rsid w:val="00D31EA0"/>
    <w:rsid w:val="00D33A8D"/>
    <w:rsid w:val="00D35869"/>
    <w:rsid w:val="00D35FDF"/>
    <w:rsid w:val="00D403B4"/>
    <w:rsid w:val="00D416F1"/>
    <w:rsid w:val="00D4362C"/>
    <w:rsid w:val="00D47130"/>
    <w:rsid w:val="00D5278A"/>
    <w:rsid w:val="00D540DC"/>
    <w:rsid w:val="00D54317"/>
    <w:rsid w:val="00D55F65"/>
    <w:rsid w:val="00D5632B"/>
    <w:rsid w:val="00D609BB"/>
    <w:rsid w:val="00D62DB1"/>
    <w:rsid w:val="00D64879"/>
    <w:rsid w:val="00D64882"/>
    <w:rsid w:val="00D65A87"/>
    <w:rsid w:val="00D66E32"/>
    <w:rsid w:val="00D677D0"/>
    <w:rsid w:val="00D67B2B"/>
    <w:rsid w:val="00D71613"/>
    <w:rsid w:val="00D72376"/>
    <w:rsid w:val="00D759A5"/>
    <w:rsid w:val="00D75DA1"/>
    <w:rsid w:val="00D80A9F"/>
    <w:rsid w:val="00D8102F"/>
    <w:rsid w:val="00D8126A"/>
    <w:rsid w:val="00D82503"/>
    <w:rsid w:val="00D8294A"/>
    <w:rsid w:val="00D837F0"/>
    <w:rsid w:val="00D85A61"/>
    <w:rsid w:val="00D872BF"/>
    <w:rsid w:val="00D927C2"/>
    <w:rsid w:val="00D933D8"/>
    <w:rsid w:val="00D939C0"/>
    <w:rsid w:val="00D93F5A"/>
    <w:rsid w:val="00D949B2"/>
    <w:rsid w:val="00D952EE"/>
    <w:rsid w:val="00D95608"/>
    <w:rsid w:val="00DA1CF4"/>
    <w:rsid w:val="00DA2979"/>
    <w:rsid w:val="00DA2F7E"/>
    <w:rsid w:val="00DA3FE3"/>
    <w:rsid w:val="00DA4212"/>
    <w:rsid w:val="00DA51FE"/>
    <w:rsid w:val="00DA6361"/>
    <w:rsid w:val="00DA6FAA"/>
    <w:rsid w:val="00DB2716"/>
    <w:rsid w:val="00DB2BDE"/>
    <w:rsid w:val="00DB3081"/>
    <w:rsid w:val="00DB383B"/>
    <w:rsid w:val="00DB3B47"/>
    <w:rsid w:val="00DB4DD8"/>
    <w:rsid w:val="00DB5308"/>
    <w:rsid w:val="00DB5F98"/>
    <w:rsid w:val="00DB7732"/>
    <w:rsid w:val="00DC03BF"/>
    <w:rsid w:val="00DC0BFF"/>
    <w:rsid w:val="00DC3082"/>
    <w:rsid w:val="00DC424F"/>
    <w:rsid w:val="00DC5E8C"/>
    <w:rsid w:val="00DC65BA"/>
    <w:rsid w:val="00DD4A47"/>
    <w:rsid w:val="00DD596B"/>
    <w:rsid w:val="00DD6FD1"/>
    <w:rsid w:val="00DD7F28"/>
    <w:rsid w:val="00DE105A"/>
    <w:rsid w:val="00DE3E3E"/>
    <w:rsid w:val="00DE529D"/>
    <w:rsid w:val="00DE653D"/>
    <w:rsid w:val="00DF03AC"/>
    <w:rsid w:val="00DF3741"/>
    <w:rsid w:val="00DF5DA4"/>
    <w:rsid w:val="00DF769D"/>
    <w:rsid w:val="00DF7B92"/>
    <w:rsid w:val="00E10931"/>
    <w:rsid w:val="00E143BD"/>
    <w:rsid w:val="00E14C15"/>
    <w:rsid w:val="00E15B52"/>
    <w:rsid w:val="00E208D5"/>
    <w:rsid w:val="00E208D6"/>
    <w:rsid w:val="00E20E6B"/>
    <w:rsid w:val="00E2426F"/>
    <w:rsid w:val="00E27215"/>
    <w:rsid w:val="00E30B44"/>
    <w:rsid w:val="00E317C3"/>
    <w:rsid w:val="00E35246"/>
    <w:rsid w:val="00E36BD9"/>
    <w:rsid w:val="00E40563"/>
    <w:rsid w:val="00E40F64"/>
    <w:rsid w:val="00E4328D"/>
    <w:rsid w:val="00E439A4"/>
    <w:rsid w:val="00E44D61"/>
    <w:rsid w:val="00E46BFB"/>
    <w:rsid w:val="00E46F53"/>
    <w:rsid w:val="00E507E7"/>
    <w:rsid w:val="00E528C5"/>
    <w:rsid w:val="00E54351"/>
    <w:rsid w:val="00E55262"/>
    <w:rsid w:val="00E552E2"/>
    <w:rsid w:val="00E56691"/>
    <w:rsid w:val="00E56E6F"/>
    <w:rsid w:val="00E60CB0"/>
    <w:rsid w:val="00E629B2"/>
    <w:rsid w:val="00E62A28"/>
    <w:rsid w:val="00E64091"/>
    <w:rsid w:val="00E65782"/>
    <w:rsid w:val="00E65F88"/>
    <w:rsid w:val="00E66800"/>
    <w:rsid w:val="00E67EDF"/>
    <w:rsid w:val="00E712B2"/>
    <w:rsid w:val="00E7313C"/>
    <w:rsid w:val="00E74221"/>
    <w:rsid w:val="00E75B74"/>
    <w:rsid w:val="00E76AC9"/>
    <w:rsid w:val="00E76F83"/>
    <w:rsid w:val="00E77891"/>
    <w:rsid w:val="00E77B8B"/>
    <w:rsid w:val="00E77F51"/>
    <w:rsid w:val="00E80CC0"/>
    <w:rsid w:val="00E83237"/>
    <w:rsid w:val="00E84D63"/>
    <w:rsid w:val="00E850F4"/>
    <w:rsid w:val="00E8511E"/>
    <w:rsid w:val="00E85795"/>
    <w:rsid w:val="00E9195F"/>
    <w:rsid w:val="00E926C8"/>
    <w:rsid w:val="00E95D19"/>
    <w:rsid w:val="00EA1ECC"/>
    <w:rsid w:val="00EA24C2"/>
    <w:rsid w:val="00EA6FA6"/>
    <w:rsid w:val="00EB2E3D"/>
    <w:rsid w:val="00EB3906"/>
    <w:rsid w:val="00EB3C5D"/>
    <w:rsid w:val="00EB56EB"/>
    <w:rsid w:val="00EC0728"/>
    <w:rsid w:val="00EC1DB1"/>
    <w:rsid w:val="00EC7AE0"/>
    <w:rsid w:val="00ED01B2"/>
    <w:rsid w:val="00ED22EF"/>
    <w:rsid w:val="00ED3171"/>
    <w:rsid w:val="00ED51F3"/>
    <w:rsid w:val="00ED7E0D"/>
    <w:rsid w:val="00EE1CA3"/>
    <w:rsid w:val="00EE4EC9"/>
    <w:rsid w:val="00EE6EF0"/>
    <w:rsid w:val="00EE7FFE"/>
    <w:rsid w:val="00EF032B"/>
    <w:rsid w:val="00EF135E"/>
    <w:rsid w:val="00EF36D6"/>
    <w:rsid w:val="00EF3A06"/>
    <w:rsid w:val="00EF4D01"/>
    <w:rsid w:val="00EF7C6F"/>
    <w:rsid w:val="00F00B4C"/>
    <w:rsid w:val="00F00E1D"/>
    <w:rsid w:val="00F033BD"/>
    <w:rsid w:val="00F06420"/>
    <w:rsid w:val="00F0703A"/>
    <w:rsid w:val="00F11F0A"/>
    <w:rsid w:val="00F13963"/>
    <w:rsid w:val="00F147B6"/>
    <w:rsid w:val="00F15F39"/>
    <w:rsid w:val="00F163A5"/>
    <w:rsid w:val="00F2039F"/>
    <w:rsid w:val="00F24B50"/>
    <w:rsid w:val="00F27365"/>
    <w:rsid w:val="00F322A7"/>
    <w:rsid w:val="00F328BA"/>
    <w:rsid w:val="00F3416C"/>
    <w:rsid w:val="00F3427D"/>
    <w:rsid w:val="00F3700F"/>
    <w:rsid w:val="00F37470"/>
    <w:rsid w:val="00F40E24"/>
    <w:rsid w:val="00F43C40"/>
    <w:rsid w:val="00F44206"/>
    <w:rsid w:val="00F4463C"/>
    <w:rsid w:val="00F450EA"/>
    <w:rsid w:val="00F475AE"/>
    <w:rsid w:val="00F5199C"/>
    <w:rsid w:val="00F53A92"/>
    <w:rsid w:val="00F54398"/>
    <w:rsid w:val="00F55633"/>
    <w:rsid w:val="00F56297"/>
    <w:rsid w:val="00F563B3"/>
    <w:rsid w:val="00F570B5"/>
    <w:rsid w:val="00F610A4"/>
    <w:rsid w:val="00F613CD"/>
    <w:rsid w:val="00F62DED"/>
    <w:rsid w:val="00F639AC"/>
    <w:rsid w:val="00F63AC4"/>
    <w:rsid w:val="00F63DD0"/>
    <w:rsid w:val="00F652E4"/>
    <w:rsid w:val="00F662EB"/>
    <w:rsid w:val="00F70F25"/>
    <w:rsid w:val="00F732C6"/>
    <w:rsid w:val="00F742C4"/>
    <w:rsid w:val="00F742ED"/>
    <w:rsid w:val="00F74770"/>
    <w:rsid w:val="00F74988"/>
    <w:rsid w:val="00F74E70"/>
    <w:rsid w:val="00F76F6D"/>
    <w:rsid w:val="00F77059"/>
    <w:rsid w:val="00F80694"/>
    <w:rsid w:val="00F845FE"/>
    <w:rsid w:val="00F8637E"/>
    <w:rsid w:val="00F86CDB"/>
    <w:rsid w:val="00F91854"/>
    <w:rsid w:val="00F944EC"/>
    <w:rsid w:val="00F94908"/>
    <w:rsid w:val="00F97347"/>
    <w:rsid w:val="00FA6380"/>
    <w:rsid w:val="00FA7113"/>
    <w:rsid w:val="00FA739F"/>
    <w:rsid w:val="00FB169C"/>
    <w:rsid w:val="00FB218F"/>
    <w:rsid w:val="00FB2E47"/>
    <w:rsid w:val="00FB3E02"/>
    <w:rsid w:val="00FB472F"/>
    <w:rsid w:val="00FB4C55"/>
    <w:rsid w:val="00FB54DB"/>
    <w:rsid w:val="00FB7A92"/>
    <w:rsid w:val="00FC1984"/>
    <w:rsid w:val="00FC1B42"/>
    <w:rsid w:val="00FC1FDB"/>
    <w:rsid w:val="00FC2012"/>
    <w:rsid w:val="00FC27A6"/>
    <w:rsid w:val="00FC2C23"/>
    <w:rsid w:val="00FC3406"/>
    <w:rsid w:val="00FC34AE"/>
    <w:rsid w:val="00FC4170"/>
    <w:rsid w:val="00FC5913"/>
    <w:rsid w:val="00FC6D81"/>
    <w:rsid w:val="00FC71C1"/>
    <w:rsid w:val="00FD45F5"/>
    <w:rsid w:val="00FD4C5F"/>
    <w:rsid w:val="00FD5308"/>
    <w:rsid w:val="00FD5C28"/>
    <w:rsid w:val="00FD6651"/>
    <w:rsid w:val="00FE104B"/>
    <w:rsid w:val="00FE10F9"/>
    <w:rsid w:val="00FE23E5"/>
    <w:rsid w:val="00FE537F"/>
    <w:rsid w:val="00FE60CD"/>
    <w:rsid w:val="00FE66E8"/>
    <w:rsid w:val="00FE682C"/>
    <w:rsid w:val="00FE7BE2"/>
    <w:rsid w:val="00FF03E3"/>
    <w:rsid w:val="00FF091A"/>
    <w:rsid w:val="00FF2552"/>
    <w:rsid w:val="00FF76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FB1B7BB"/>
  <w15:docId w15:val="{D5E44000-5DFE-418A-84FE-ADC43FB05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3957"/>
    <w:pPr>
      <w:autoSpaceDE w:val="0"/>
      <w:autoSpaceDN w:val="0"/>
    </w:pPr>
    <w:rPr>
      <w:rFonts w:ascii="Times" w:hAnsi="Times"/>
      <w:sz w:val="24"/>
      <w:szCs w:val="24"/>
      <w:lang w:eastAsia="en-US"/>
    </w:rPr>
  </w:style>
  <w:style w:type="paragraph" w:styleId="Heading1">
    <w:name w:val="heading 1"/>
    <w:basedOn w:val="Normal"/>
    <w:next w:val="Normal"/>
    <w:link w:val="Heading1Char"/>
    <w:uiPriority w:val="9"/>
    <w:qFormat/>
    <w:rsid w:val="00CC7304"/>
    <w:pPr>
      <w:keepNext/>
      <w:numPr>
        <w:numId w:val="16"/>
      </w:numPr>
      <w:jc w:val="both"/>
      <w:outlineLvl w:val="0"/>
    </w:pPr>
    <w:rPr>
      <w:rFonts w:ascii="Arial" w:hAnsi="Arial"/>
      <w:b/>
      <w:bCs/>
      <w:sz w:val="22"/>
      <w:szCs w:val="22"/>
      <w:lang w:val="x-none" w:eastAsia="x-none"/>
    </w:rPr>
  </w:style>
  <w:style w:type="paragraph" w:styleId="Heading2">
    <w:name w:val="heading 2"/>
    <w:basedOn w:val="Normal"/>
    <w:next w:val="Normal"/>
    <w:link w:val="Heading2Char"/>
    <w:uiPriority w:val="9"/>
    <w:qFormat/>
    <w:rsid w:val="00F74770"/>
    <w:pPr>
      <w:numPr>
        <w:ilvl w:val="1"/>
        <w:numId w:val="16"/>
      </w:numPr>
      <w:jc w:val="both"/>
      <w:outlineLvl w:val="1"/>
    </w:pPr>
    <w:rPr>
      <w:rFonts w:ascii="Arial" w:hAnsi="Arial" w:cs="Arial"/>
      <w:b/>
      <w:bCs/>
      <w:iCs/>
      <w:sz w:val="22"/>
    </w:rPr>
  </w:style>
  <w:style w:type="paragraph" w:styleId="Heading3">
    <w:name w:val="heading 3"/>
    <w:basedOn w:val="Heading2"/>
    <w:next w:val="Normal"/>
    <w:link w:val="Heading3Char"/>
    <w:uiPriority w:val="9"/>
    <w:qFormat/>
    <w:rsid w:val="00F74770"/>
    <w:pPr>
      <w:numPr>
        <w:ilvl w:val="2"/>
      </w:numPr>
      <w:ind w:left="1146"/>
      <w:outlineLvl w:val="2"/>
    </w:pPr>
  </w:style>
  <w:style w:type="paragraph" w:styleId="Heading4">
    <w:name w:val="heading 4"/>
    <w:basedOn w:val="Normal"/>
    <w:next w:val="Normal"/>
    <w:link w:val="Heading4Char"/>
    <w:uiPriority w:val="9"/>
    <w:qFormat/>
    <w:rsid w:val="00F27365"/>
    <w:pPr>
      <w:keepNext/>
      <w:numPr>
        <w:ilvl w:val="3"/>
        <w:numId w:val="16"/>
      </w:numPr>
      <w:jc w:val="both"/>
      <w:outlineLvl w:val="3"/>
    </w:pPr>
    <w:rPr>
      <w:rFonts w:ascii="Arial" w:hAnsi="Arial" w:cs="Arial"/>
      <w:b/>
      <w:bCs/>
      <w:sz w:val="22"/>
    </w:rPr>
  </w:style>
  <w:style w:type="paragraph" w:styleId="Heading5">
    <w:name w:val="heading 5"/>
    <w:basedOn w:val="Normal"/>
    <w:next w:val="Normal"/>
    <w:link w:val="Heading5Char"/>
    <w:qFormat/>
    <w:rsid w:val="00F74770"/>
    <w:pPr>
      <w:numPr>
        <w:ilvl w:val="4"/>
        <w:numId w:val="16"/>
      </w:numPr>
      <w:spacing w:before="240" w:after="60"/>
      <w:jc w:val="both"/>
      <w:outlineLvl w:val="4"/>
    </w:pPr>
    <w:rPr>
      <w:rFonts w:ascii="Arial" w:hAnsi="Arial" w:cs="Times"/>
      <w:sz w:val="22"/>
      <w:szCs w:val="22"/>
    </w:rPr>
  </w:style>
  <w:style w:type="paragraph" w:styleId="Heading6">
    <w:name w:val="heading 6"/>
    <w:basedOn w:val="Normal"/>
    <w:next w:val="Normal"/>
    <w:link w:val="Heading6Char"/>
    <w:qFormat/>
    <w:rsid w:val="00F74770"/>
    <w:pPr>
      <w:numPr>
        <w:ilvl w:val="5"/>
        <w:numId w:val="16"/>
      </w:numPr>
      <w:spacing w:before="240" w:after="60"/>
      <w:jc w:val="both"/>
      <w:outlineLvl w:val="5"/>
    </w:pPr>
    <w:rPr>
      <w:rFonts w:ascii="Arial" w:hAnsi="Arial" w:cs="Times"/>
      <w:i/>
      <w:iCs/>
      <w:sz w:val="22"/>
      <w:szCs w:val="22"/>
    </w:rPr>
  </w:style>
  <w:style w:type="paragraph" w:styleId="Heading7">
    <w:name w:val="heading 7"/>
    <w:basedOn w:val="Normal"/>
    <w:next w:val="Normal"/>
    <w:link w:val="Heading7Char"/>
    <w:qFormat/>
    <w:rsid w:val="00263957"/>
    <w:pPr>
      <w:numPr>
        <w:ilvl w:val="6"/>
        <w:numId w:val="16"/>
      </w:numPr>
      <w:spacing w:before="240" w:after="60"/>
      <w:outlineLvl w:val="6"/>
    </w:pPr>
    <w:rPr>
      <w:rFonts w:ascii="Arial" w:hAnsi="Arial" w:cs="Arial"/>
      <w:sz w:val="20"/>
      <w:szCs w:val="20"/>
    </w:rPr>
  </w:style>
  <w:style w:type="paragraph" w:styleId="Heading8">
    <w:name w:val="heading 8"/>
    <w:basedOn w:val="Normal"/>
    <w:next w:val="Normal"/>
    <w:link w:val="Heading8Char"/>
    <w:qFormat/>
    <w:rsid w:val="00263957"/>
    <w:pPr>
      <w:spacing w:before="240" w:after="60"/>
      <w:outlineLvl w:val="7"/>
    </w:pPr>
    <w:rPr>
      <w:rFonts w:ascii="Arial" w:hAnsi="Arial" w:cs="Arial"/>
      <w:i/>
      <w:iCs/>
      <w:sz w:val="20"/>
      <w:szCs w:val="20"/>
    </w:rPr>
  </w:style>
  <w:style w:type="paragraph" w:styleId="Heading9">
    <w:name w:val="heading 9"/>
    <w:basedOn w:val="Normal"/>
    <w:next w:val="Normal"/>
    <w:link w:val="Heading9Char"/>
    <w:qFormat/>
    <w:rsid w:val="00263957"/>
    <w:pPr>
      <w:spacing w:before="240" w:after="60"/>
      <w:outlineLvl w:val="8"/>
    </w:pPr>
    <w:rPr>
      <w:rFonts w:ascii="Arial" w:hAnsi="Arial" w:cs="Arial"/>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C7304"/>
    <w:rPr>
      <w:rFonts w:ascii="Arial" w:hAnsi="Arial"/>
      <w:b/>
      <w:bCs/>
      <w:sz w:val="22"/>
      <w:szCs w:val="22"/>
      <w:lang w:val="x-none" w:eastAsia="x-none"/>
    </w:rPr>
  </w:style>
  <w:style w:type="character" w:customStyle="1" w:styleId="Heading2Char">
    <w:name w:val="Heading 2 Char"/>
    <w:basedOn w:val="DefaultParagraphFont"/>
    <w:link w:val="Heading2"/>
    <w:uiPriority w:val="9"/>
    <w:rsid w:val="00F74770"/>
    <w:rPr>
      <w:rFonts w:ascii="Arial" w:hAnsi="Arial" w:cs="Arial"/>
      <w:b/>
      <w:bCs/>
      <w:iCs/>
      <w:sz w:val="22"/>
      <w:szCs w:val="24"/>
      <w:lang w:eastAsia="en-US"/>
    </w:rPr>
  </w:style>
  <w:style w:type="paragraph" w:customStyle="1" w:styleId="checkbox">
    <w:name w:val="checkbox"/>
    <w:basedOn w:val="Normal"/>
    <w:rsid w:val="00263957"/>
    <w:pPr>
      <w:pBdr>
        <w:top w:val="single" w:sz="6" w:space="0" w:color="auto"/>
        <w:left w:val="single" w:sz="6" w:space="0" w:color="auto"/>
        <w:bottom w:val="single" w:sz="6" w:space="0" w:color="auto"/>
        <w:right w:val="single" w:sz="6" w:space="0" w:color="auto"/>
      </w:pBdr>
      <w:jc w:val="center"/>
    </w:pPr>
    <w:rPr>
      <w:rFonts w:cs="Times"/>
      <w:color w:val="0000FF"/>
      <w:sz w:val="18"/>
      <w:szCs w:val="18"/>
    </w:rPr>
  </w:style>
  <w:style w:type="paragraph" w:styleId="BlockText">
    <w:name w:val="Block Text"/>
    <w:basedOn w:val="Normal"/>
    <w:rsid w:val="00263957"/>
    <w:pPr>
      <w:spacing w:after="120"/>
      <w:ind w:left="1440" w:right="1440"/>
    </w:pPr>
    <w:rPr>
      <w:rFonts w:cs="Times"/>
    </w:rPr>
  </w:style>
  <w:style w:type="paragraph" w:styleId="BodyText">
    <w:name w:val="Body Text"/>
    <w:basedOn w:val="Normal"/>
    <w:link w:val="BodyTextChar"/>
    <w:uiPriority w:val="1"/>
    <w:qFormat/>
    <w:rsid w:val="00263957"/>
    <w:pPr>
      <w:spacing w:after="120"/>
    </w:pPr>
    <w:rPr>
      <w:lang w:val="x-none" w:eastAsia="x-none"/>
    </w:rPr>
  </w:style>
  <w:style w:type="character" w:customStyle="1" w:styleId="BodyTextChar">
    <w:name w:val="Body Text Char"/>
    <w:link w:val="BodyText"/>
    <w:uiPriority w:val="1"/>
    <w:rsid w:val="005E5CC6"/>
    <w:rPr>
      <w:rFonts w:ascii="Times" w:hAnsi="Times" w:cs="Times"/>
      <w:sz w:val="24"/>
      <w:szCs w:val="24"/>
    </w:rPr>
  </w:style>
  <w:style w:type="paragraph" w:styleId="BodyTextIndent">
    <w:name w:val="Body Text Indent"/>
    <w:basedOn w:val="Normal"/>
    <w:link w:val="BodyTextIndentChar"/>
    <w:rsid w:val="00263957"/>
    <w:rPr>
      <w:rFonts w:ascii="Arial" w:hAnsi="Arial" w:cs="Arial"/>
      <w:sz w:val="22"/>
      <w:szCs w:val="22"/>
    </w:rPr>
  </w:style>
  <w:style w:type="paragraph" w:styleId="BodyText3">
    <w:name w:val="Body Text 3"/>
    <w:basedOn w:val="Normal"/>
    <w:link w:val="BodyText3Char"/>
    <w:rsid w:val="00263957"/>
    <w:pPr>
      <w:spacing w:after="120"/>
    </w:pPr>
    <w:rPr>
      <w:rFonts w:cs="Times"/>
      <w:sz w:val="16"/>
      <w:szCs w:val="16"/>
    </w:rPr>
  </w:style>
  <w:style w:type="paragraph" w:styleId="BodyTextFirstIndent">
    <w:name w:val="Body Text First Indent"/>
    <w:basedOn w:val="BodyText"/>
    <w:link w:val="BodyTextFirstIndentChar"/>
    <w:rsid w:val="00263957"/>
    <w:pPr>
      <w:ind w:firstLine="210"/>
    </w:pPr>
  </w:style>
  <w:style w:type="paragraph" w:styleId="BodyTextFirstIndent2">
    <w:name w:val="Body Text First Indent 2"/>
    <w:basedOn w:val="BodyTextIndent"/>
    <w:link w:val="BodyTextFirstIndent2Char"/>
    <w:rsid w:val="00263957"/>
    <w:pPr>
      <w:spacing w:after="120"/>
      <w:ind w:left="360" w:firstLine="210"/>
    </w:pPr>
    <w:rPr>
      <w:rFonts w:ascii="Times" w:hAnsi="Times" w:cs="Times"/>
      <w:sz w:val="24"/>
      <w:szCs w:val="24"/>
    </w:rPr>
  </w:style>
  <w:style w:type="paragraph" w:styleId="BodyTextIndent2">
    <w:name w:val="Body Text Indent 2"/>
    <w:basedOn w:val="Normal"/>
    <w:link w:val="BodyTextIndent2Char"/>
    <w:rsid w:val="00263957"/>
    <w:pPr>
      <w:spacing w:after="120" w:line="480" w:lineRule="auto"/>
      <w:ind w:left="360"/>
    </w:pPr>
    <w:rPr>
      <w:rFonts w:cs="Times"/>
    </w:rPr>
  </w:style>
  <w:style w:type="paragraph" w:styleId="BodyTextIndent3">
    <w:name w:val="Body Text Indent 3"/>
    <w:basedOn w:val="Normal"/>
    <w:link w:val="BodyTextIndent3Char"/>
    <w:rsid w:val="00263957"/>
    <w:pPr>
      <w:spacing w:after="120"/>
      <w:ind w:left="360"/>
    </w:pPr>
    <w:rPr>
      <w:rFonts w:cs="Times"/>
      <w:sz w:val="16"/>
      <w:szCs w:val="16"/>
    </w:rPr>
  </w:style>
  <w:style w:type="paragraph" w:styleId="Caption">
    <w:name w:val="caption"/>
    <w:basedOn w:val="Normal"/>
    <w:next w:val="Normal"/>
    <w:uiPriority w:val="35"/>
    <w:qFormat/>
    <w:rsid w:val="00263957"/>
    <w:pPr>
      <w:spacing w:before="120" w:after="120"/>
    </w:pPr>
    <w:rPr>
      <w:rFonts w:cs="Times"/>
      <w:b/>
      <w:bCs/>
    </w:rPr>
  </w:style>
  <w:style w:type="paragraph" w:styleId="Closing">
    <w:name w:val="Closing"/>
    <w:basedOn w:val="Normal"/>
    <w:link w:val="ClosingChar"/>
    <w:rsid w:val="00263957"/>
    <w:pPr>
      <w:ind w:left="4320"/>
    </w:pPr>
    <w:rPr>
      <w:rFonts w:cs="Times"/>
    </w:rPr>
  </w:style>
  <w:style w:type="paragraph" w:styleId="CommentText">
    <w:name w:val="annotation text"/>
    <w:basedOn w:val="Normal"/>
    <w:link w:val="CommentTextChar"/>
    <w:uiPriority w:val="99"/>
    <w:rsid w:val="00263957"/>
    <w:rPr>
      <w:rFonts w:cs="Times"/>
      <w:sz w:val="20"/>
      <w:szCs w:val="20"/>
    </w:rPr>
  </w:style>
  <w:style w:type="character" w:customStyle="1" w:styleId="CommentTextChar">
    <w:name w:val="Comment Text Char"/>
    <w:basedOn w:val="DefaultParagraphFont"/>
    <w:link w:val="CommentText"/>
    <w:uiPriority w:val="99"/>
    <w:rsid w:val="000F6831"/>
    <w:rPr>
      <w:rFonts w:ascii="Times" w:hAnsi="Times" w:cs="Times"/>
      <w:lang w:eastAsia="en-US"/>
    </w:rPr>
  </w:style>
  <w:style w:type="paragraph" w:styleId="Date">
    <w:name w:val="Date"/>
    <w:basedOn w:val="Normal"/>
    <w:next w:val="Normal"/>
    <w:link w:val="DateChar"/>
    <w:rsid w:val="00263957"/>
    <w:rPr>
      <w:rFonts w:cs="Times"/>
    </w:rPr>
  </w:style>
  <w:style w:type="paragraph" w:styleId="DocumentMap">
    <w:name w:val="Document Map"/>
    <w:basedOn w:val="Normal"/>
    <w:link w:val="DocumentMapChar"/>
    <w:semiHidden/>
    <w:rsid w:val="00263957"/>
    <w:pPr>
      <w:shd w:val="clear" w:color="auto" w:fill="000080"/>
    </w:pPr>
    <w:rPr>
      <w:rFonts w:ascii="Tahoma" w:hAnsi="Tahoma" w:cs="Tahoma"/>
    </w:rPr>
  </w:style>
  <w:style w:type="paragraph" w:styleId="EndnoteText">
    <w:name w:val="endnote text"/>
    <w:basedOn w:val="Normal"/>
    <w:link w:val="EndnoteTextChar"/>
    <w:semiHidden/>
    <w:rsid w:val="00263957"/>
    <w:rPr>
      <w:rFonts w:cs="Times"/>
      <w:sz w:val="20"/>
      <w:szCs w:val="20"/>
    </w:rPr>
  </w:style>
  <w:style w:type="paragraph" w:styleId="EnvelopeAddress">
    <w:name w:val="envelope address"/>
    <w:basedOn w:val="Normal"/>
    <w:rsid w:val="00263957"/>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263957"/>
    <w:rPr>
      <w:rFonts w:ascii="Arial" w:hAnsi="Arial" w:cs="Arial"/>
      <w:sz w:val="20"/>
      <w:szCs w:val="20"/>
    </w:rPr>
  </w:style>
  <w:style w:type="paragraph" w:styleId="Footer">
    <w:name w:val="footer"/>
    <w:basedOn w:val="Normal"/>
    <w:link w:val="FooterChar"/>
    <w:uiPriority w:val="99"/>
    <w:rsid w:val="00263957"/>
    <w:pPr>
      <w:tabs>
        <w:tab w:val="center" w:pos="4320"/>
        <w:tab w:val="right" w:pos="8640"/>
      </w:tabs>
    </w:pPr>
    <w:rPr>
      <w:lang w:val="x-none" w:eastAsia="x-none"/>
    </w:rPr>
  </w:style>
  <w:style w:type="character" w:customStyle="1" w:styleId="FooterChar">
    <w:name w:val="Footer Char"/>
    <w:link w:val="Footer"/>
    <w:uiPriority w:val="99"/>
    <w:rsid w:val="006070E9"/>
    <w:rPr>
      <w:rFonts w:ascii="Times" w:hAnsi="Times" w:cs="Times"/>
      <w:sz w:val="24"/>
      <w:szCs w:val="24"/>
    </w:rPr>
  </w:style>
  <w:style w:type="paragraph" w:styleId="FootnoteText">
    <w:name w:val="footnote text"/>
    <w:basedOn w:val="Normal"/>
    <w:link w:val="FootnoteTextChar"/>
    <w:semiHidden/>
    <w:rsid w:val="00263957"/>
    <w:rPr>
      <w:rFonts w:cs="Times"/>
      <w:sz w:val="20"/>
      <w:szCs w:val="20"/>
    </w:rPr>
  </w:style>
  <w:style w:type="paragraph" w:styleId="Header">
    <w:name w:val="header"/>
    <w:basedOn w:val="Normal"/>
    <w:link w:val="HeaderChar"/>
    <w:uiPriority w:val="99"/>
    <w:rsid w:val="00263957"/>
    <w:pPr>
      <w:tabs>
        <w:tab w:val="center" w:pos="4320"/>
        <w:tab w:val="right" w:pos="8640"/>
      </w:tabs>
    </w:pPr>
    <w:rPr>
      <w:lang w:val="x-none" w:eastAsia="x-none"/>
    </w:rPr>
  </w:style>
  <w:style w:type="character" w:customStyle="1" w:styleId="HeaderChar">
    <w:name w:val="Header Char"/>
    <w:link w:val="Header"/>
    <w:uiPriority w:val="99"/>
    <w:locked/>
    <w:rsid w:val="006070E9"/>
    <w:rPr>
      <w:rFonts w:ascii="Times" w:hAnsi="Times" w:cs="Times"/>
      <w:sz w:val="24"/>
      <w:szCs w:val="24"/>
    </w:rPr>
  </w:style>
  <w:style w:type="paragraph" w:styleId="Index1">
    <w:name w:val="index 1"/>
    <w:basedOn w:val="Normal"/>
    <w:next w:val="Normal"/>
    <w:autoRedefine/>
    <w:semiHidden/>
    <w:rsid w:val="00263957"/>
    <w:pPr>
      <w:ind w:left="240" w:hanging="240"/>
    </w:pPr>
    <w:rPr>
      <w:rFonts w:cs="Times"/>
    </w:rPr>
  </w:style>
  <w:style w:type="paragraph" w:styleId="Index2">
    <w:name w:val="index 2"/>
    <w:basedOn w:val="Normal"/>
    <w:next w:val="Normal"/>
    <w:autoRedefine/>
    <w:semiHidden/>
    <w:rsid w:val="00263957"/>
    <w:pPr>
      <w:ind w:left="480" w:hanging="240"/>
    </w:pPr>
    <w:rPr>
      <w:rFonts w:cs="Times"/>
    </w:rPr>
  </w:style>
  <w:style w:type="paragraph" w:styleId="Index3">
    <w:name w:val="index 3"/>
    <w:basedOn w:val="Normal"/>
    <w:next w:val="Normal"/>
    <w:autoRedefine/>
    <w:semiHidden/>
    <w:rsid w:val="00263957"/>
    <w:pPr>
      <w:ind w:left="720" w:hanging="240"/>
    </w:pPr>
    <w:rPr>
      <w:rFonts w:cs="Times"/>
    </w:rPr>
  </w:style>
  <w:style w:type="paragraph" w:styleId="Index4">
    <w:name w:val="index 4"/>
    <w:basedOn w:val="Normal"/>
    <w:next w:val="Normal"/>
    <w:autoRedefine/>
    <w:semiHidden/>
    <w:rsid w:val="00263957"/>
    <w:pPr>
      <w:ind w:left="960" w:hanging="240"/>
    </w:pPr>
    <w:rPr>
      <w:rFonts w:cs="Times"/>
    </w:rPr>
  </w:style>
  <w:style w:type="paragraph" w:styleId="Index5">
    <w:name w:val="index 5"/>
    <w:basedOn w:val="Normal"/>
    <w:next w:val="Normal"/>
    <w:autoRedefine/>
    <w:semiHidden/>
    <w:rsid w:val="00263957"/>
    <w:pPr>
      <w:ind w:left="1200" w:hanging="240"/>
    </w:pPr>
    <w:rPr>
      <w:rFonts w:cs="Times"/>
    </w:rPr>
  </w:style>
  <w:style w:type="paragraph" w:styleId="Index6">
    <w:name w:val="index 6"/>
    <w:basedOn w:val="Normal"/>
    <w:next w:val="Normal"/>
    <w:autoRedefine/>
    <w:semiHidden/>
    <w:rsid w:val="00263957"/>
    <w:pPr>
      <w:ind w:left="1440" w:hanging="240"/>
    </w:pPr>
    <w:rPr>
      <w:rFonts w:cs="Times"/>
    </w:rPr>
  </w:style>
  <w:style w:type="paragraph" w:styleId="Index7">
    <w:name w:val="index 7"/>
    <w:basedOn w:val="Normal"/>
    <w:next w:val="Normal"/>
    <w:autoRedefine/>
    <w:semiHidden/>
    <w:rsid w:val="00263957"/>
    <w:pPr>
      <w:ind w:left="1680" w:hanging="240"/>
    </w:pPr>
    <w:rPr>
      <w:rFonts w:cs="Times"/>
    </w:rPr>
  </w:style>
  <w:style w:type="paragraph" w:styleId="Index8">
    <w:name w:val="index 8"/>
    <w:basedOn w:val="Normal"/>
    <w:next w:val="Normal"/>
    <w:autoRedefine/>
    <w:semiHidden/>
    <w:rsid w:val="00263957"/>
    <w:pPr>
      <w:ind w:left="1920" w:hanging="240"/>
    </w:pPr>
    <w:rPr>
      <w:rFonts w:cs="Times"/>
    </w:rPr>
  </w:style>
  <w:style w:type="paragraph" w:styleId="Index9">
    <w:name w:val="index 9"/>
    <w:basedOn w:val="Normal"/>
    <w:next w:val="Normal"/>
    <w:autoRedefine/>
    <w:semiHidden/>
    <w:rsid w:val="00263957"/>
    <w:pPr>
      <w:ind w:left="2160" w:hanging="240"/>
    </w:pPr>
    <w:rPr>
      <w:rFonts w:cs="Times"/>
    </w:rPr>
  </w:style>
  <w:style w:type="paragraph" w:styleId="IndexHeading">
    <w:name w:val="index heading"/>
    <w:basedOn w:val="Normal"/>
    <w:next w:val="Index1"/>
    <w:semiHidden/>
    <w:rsid w:val="00263957"/>
    <w:rPr>
      <w:rFonts w:ascii="Arial" w:hAnsi="Arial" w:cs="Arial"/>
      <w:b/>
      <w:bCs/>
    </w:rPr>
  </w:style>
  <w:style w:type="paragraph" w:styleId="List">
    <w:name w:val="List"/>
    <w:basedOn w:val="Normal"/>
    <w:rsid w:val="00263957"/>
    <w:pPr>
      <w:ind w:left="360" w:hanging="360"/>
    </w:pPr>
    <w:rPr>
      <w:rFonts w:cs="Times"/>
    </w:rPr>
  </w:style>
  <w:style w:type="paragraph" w:styleId="List2">
    <w:name w:val="List 2"/>
    <w:basedOn w:val="Normal"/>
    <w:uiPriority w:val="99"/>
    <w:rsid w:val="00263957"/>
    <w:pPr>
      <w:ind w:left="720" w:hanging="360"/>
    </w:pPr>
    <w:rPr>
      <w:rFonts w:cs="Times"/>
    </w:rPr>
  </w:style>
  <w:style w:type="paragraph" w:styleId="List3">
    <w:name w:val="List 3"/>
    <w:basedOn w:val="Normal"/>
    <w:rsid w:val="00263957"/>
    <w:pPr>
      <w:ind w:left="1080" w:hanging="360"/>
    </w:pPr>
    <w:rPr>
      <w:rFonts w:cs="Times"/>
    </w:rPr>
  </w:style>
  <w:style w:type="paragraph" w:styleId="List4">
    <w:name w:val="List 4"/>
    <w:basedOn w:val="Normal"/>
    <w:rsid w:val="00263957"/>
    <w:pPr>
      <w:ind w:left="1440" w:hanging="360"/>
    </w:pPr>
    <w:rPr>
      <w:rFonts w:cs="Times"/>
    </w:rPr>
  </w:style>
  <w:style w:type="paragraph" w:styleId="List5">
    <w:name w:val="List 5"/>
    <w:basedOn w:val="Normal"/>
    <w:rsid w:val="00263957"/>
    <w:pPr>
      <w:ind w:left="1800" w:hanging="360"/>
    </w:pPr>
    <w:rPr>
      <w:rFonts w:cs="Times"/>
    </w:rPr>
  </w:style>
  <w:style w:type="paragraph" w:styleId="ListBullet">
    <w:name w:val="List Bullet"/>
    <w:basedOn w:val="Normal"/>
    <w:autoRedefine/>
    <w:rsid w:val="00263957"/>
    <w:pPr>
      <w:numPr>
        <w:numId w:val="1"/>
      </w:numPr>
    </w:pPr>
    <w:rPr>
      <w:rFonts w:cs="Times"/>
    </w:rPr>
  </w:style>
  <w:style w:type="paragraph" w:styleId="ListBullet2">
    <w:name w:val="List Bullet 2"/>
    <w:basedOn w:val="Normal"/>
    <w:autoRedefine/>
    <w:rsid w:val="00263957"/>
    <w:pPr>
      <w:numPr>
        <w:numId w:val="2"/>
      </w:numPr>
    </w:pPr>
    <w:rPr>
      <w:rFonts w:cs="Times"/>
    </w:rPr>
  </w:style>
  <w:style w:type="paragraph" w:styleId="ListBullet3">
    <w:name w:val="List Bullet 3"/>
    <w:basedOn w:val="Normal"/>
    <w:autoRedefine/>
    <w:rsid w:val="00263957"/>
    <w:pPr>
      <w:numPr>
        <w:numId w:val="3"/>
      </w:numPr>
    </w:pPr>
    <w:rPr>
      <w:rFonts w:cs="Times"/>
    </w:rPr>
  </w:style>
  <w:style w:type="paragraph" w:styleId="ListBullet4">
    <w:name w:val="List Bullet 4"/>
    <w:basedOn w:val="Normal"/>
    <w:autoRedefine/>
    <w:rsid w:val="00263957"/>
    <w:pPr>
      <w:numPr>
        <w:numId w:val="4"/>
      </w:numPr>
    </w:pPr>
    <w:rPr>
      <w:rFonts w:cs="Times"/>
    </w:rPr>
  </w:style>
  <w:style w:type="paragraph" w:styleId="ListBullet5">
    <w:name w:val="List Bullet 5"/>
    <w:basedOn w:val="Normal"/>
    <w:autoRedefine/>
    <w:rsid w:val="00263957"/>
    <w:pPr>
      <w:numPr>
        <w:numId w:val="5"/>
      </w:numPr>
    </w:pPr>
    <w:rPr>
      <w:rFonts w:cs="Times"/>
    </w:rPr>
  </w:style>
  <w:style w:type="paragraph" w:styleId="ListContinue">
    <w:name w:val="List Continue"/>
    <w:basedOn w:val="Normal"/>
    <w:rsid w:val="00263957"/>
    <w:pPr>
      <w:spacing w:after="120"/>
      <w:ind w:left="360"/>
    </w:pPr>
    <w:rPr>
      <w:rFonts w:cs="Times"/>
    </w:rPr>
  </w:style>
  <w:style w:type="paragraph" w:styleId="ListContinue2">
    <w:name w:val="List Continue 2"/>
    <w:basedOn w:val="Normal"/>
    <w:rsid w:val="00263957"/>
    <w:pPr>
      <w:spacing w:after="120"/>
      <w:ind w:left="720"/>
    </w:pPr>
    <w:rPr>
      <w:rFonts w:cs="Times"/>
    </w:rPr>
  </w:style>
  <w:style w:type="paragraph" w:styleId="ListContinue3">
    <w:name w:val="List Continue 3"/>
    <w:basedOn w:val="Normal"/>
    <w:rsid w:val="00263957"/>
    <w:pPr>
      <w:spacing w:after="120"/>
      <w:ind w:left="1080"/>
    </w:pPr>
    <w:rPr>
      <w:rFonts w:cs="Times"/>
    </w:rPr>
  </w:style>
  <w:style w:type="paragraph" w:styleId="ListContinue4">
    <w:name w:val="List Continue 4"/>
    <w:basedOn w:val="Normal"/>
    <w:rsid w:val="00263957"/>
    <w:pPr>
      <w:spacing w:after="120"/>
      <w:ind w:left="1440"/>
    </w:pPr>
    <w:rPr>
      <w:rFonts w:cs="Times"/>
    </w:rPr>
  </w:style>
  <w:style w:type="paragraph" w:styleId="ListContinue5">
    <w:name w:val="List Continue 5"/>
    <w:basedOn w:val="Normal"/>
    <w:rsid w:val="00263957"/>
    <w:pPr>
      <w:spacing w:after="120"/>
      <w:ind w:left="1800"/>
    </w:pPr>
    <w:rPr>
      <w:rFonts w:cs="Times"/>
    </w:rPr>
  </w:style>
  <w:style w:type="paragraph" w:styleId="ListNumber">
    <w:name w:val="List Number"/>
    <w:basedOn w:val="Normal"/>
    <w:rsid w:val="00263957"/>
    <w:pPr>
      <w:numPr>
        <w:numId w:val="6"/>
      </w:numPr>
    </w:pPr>
    <w:rPr>
      <w:rFonts w:cs="Times"/>
    </w:rPr>
  </w:style>
  <w:style w:type="paragraph" w:styleId="ListNumber2">
    <w:name w:val="List Number 2"/>
    <w:basedOn w:val="Normal"/>
    <w:rsid w:val="00263957"/>
    <w:pPr>
      <w:numPr>
        <w:numId w:val="7"/>
      </w:numPr>
    </w:pPr>
    <w:rPr>
      <w:rFonts w:cs="Times"/>
    </w:rPr>
  </w:style>
  <w:style w:type="paragraph" w:styleId="ListNumber3">
    <w:name w:val="List Number 3"/>
    <w:basedOn w:val="Normal"/>
    <w:rsid w:val="00263957"/>
    <w:pPr>
      <w:numPr>
        <w:numId w:val="8"/>
      </w:numPr>
    </w:pPr>
    <w:rPr>
      <w:rFonts w:cs="Times"/>
    </w:rPr>
  </w:style>
  <w:style w:type="paragraph" w:styleId="ListNumber4">
    <w:name w:val="List Number 4"/>
    <w:basedOn w:val="Normal"/>
    <w:rsid w:val="00263957"/>
    <w:pPr>
      <w:numPr>
        <w:numId w:val="9"/>
      </w:numPr>
    </w:pPr>
    <w:rPr>
      <w:rFonts w:cs="Times"/>
    </w:rPr>
  </w:style>
  <w:style w:type="paragraph" w:styleId="ListNumber5">
    <w:name w:val="List Number 5"/>
    <w:basedOn w:val="Normal"/>
    <w:rsid w:val="00263957"/>
    <w:pPr>
      <w:numPr>
        <w:numId w:val="10"/>
      </w:numPr>
    </w:pPr>
    <w:rPr>
      <w:rFonts w:cs="Times"/>
    </w:rPr>
  </w:style>
  <w:style w:type="paragraph" w:styleId="MacroText">
    <w:name w:val="macro"/>
    <w:link w:val="MacroTextChar"/>
    <w:semiHidden/>
    <w:rsid w:val="00263957"/>
    <w:pPr>
      <w:tabs>
        <w:tab w:val="left" w:pos="480"/>
        <w:tab w:val="left" w:pos="960"/>
        <w:tab w:val="left" w:pos="1440"/>
        <w:tab w:val="left" w:pos="1920"/>
        <w:tab w:val="left" w:pos="2400"/>
        <w:tab w:val="left" w:pos="2880"/>
        <w:tab w:val="left" w:pos="3360"/>
        <w:tab w:val="left" w:pos="3840"/>
        <w:tab w:val="left" w:pos="4320"/>
      </w:tabs>
      <w:autoSpaceDE w:val="0"/>
      <w:autoSpaceDN w:val="0"/>
    </w:pPr>
    <w:rPr>
      <w:rFonts w:ascii="Courier New" w:hAnsi="Courier New" w:cs="Courier New"/>
      <w:lang w:eastAsia="en-US"/>
    </w:rPr>
  </w:style>
  <w:style w:type="paragraph" w:styleId="MessageHeader">
    <w:name w:val="Message Header"/>
    <w:basedOn w:val="Normal"/>
    <w:link w:val="MessageHeaderChar"/>
    <w:rsid w:val="0026395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Indent">
    <w:name w:val="Normal Indent"/>
    <w:basedOn w:val="Normal"/>
    <w:rsid w:val="00263957"/>
    <w:pPr>
      <w:ind w:left="720"/>
    </w:pPr>
    <w:rPr>
      <w:rFonts w:cs="Times"/>
    </w:rPr>
  </w:style>
  <w:style w:type="paragraph" w:styleId="NoteHeading">
    <w:name w:val="Note Heading"/>
    <w:basedOn w:val="Normal"/>
    <w:next w:val="Normal"/>
    <w:link w:val="NoteHeadingChar"/>
    <w:rsid w:val="00263957"/>
    <w:rPr>
      <w:rFonts w:cs="Times"/>
    </w:rPr>
  </w:style>
  <w:style w:type="paragraph" w:styleId="PlainText">
    <w:name w:val="Plain Text"/>
    <w:basedOn w:val="Normal"/>
    <w:link w:val="PlainTextChar"/>
    <w:rsid w:val="00263957"/>
    <w:rPr>
      <w:rFonts w:ascii="Courier New" w:hAnsi="Courier New"/>
      <w:sz w:val="20"/>
      <w:szCs w:val="20"/>
      <w:lang w:val="x-none" w:eastAsia="x-none"/>
    </w:rPr>
  </w:style>
  <w:style w:type="character" w:customStyle="1" w:styleId="PlainTextChar">
    <w:name w:val="Plain Text Char"/>
    <w:link w:val="PlainText"/>
    <w:rsid w:val="00A2507E"/>
    <w:rPr>
      <w:rFonts w:ascii="Courier New" w:hAnsi="Courier New" w:cs="Courier New"/>
    </w:rPr>
  </w:style>
  <w:style w:type="paragraph" w:styleId="Salutation">
    <w:name w:val="Salutation"/>
    <w:basedOn w:val="Normal"/>
    <w:next w:val="Normal"/>
    <w:link w:val="SalutationChar"/>
    <w:rsid w:val="00263957"/>
    <w:rPr>
      <w:rFonts w:cs="Times"/>
    </w:rPr>
  </w:style>
  <w:style w:type="paragraph" w:styleId="Signature">
    <w:name w:val="Signature"/>
    <w:basedOn w:val="Normal"/>
    <w:link w:val="SignatureChar"/>
    <w:rsid w:val="00263957"/>
    <w:pPr>
      <w:ind w:left="4320"/>
    </w:pPr>
    <w:rPr>
      <w:rFonts w:cs="Times"/>
    </w:rPr>
  </w:style>
  <w:style w:type="paragraph" w:styleId="Subtitle">
    <w:name w:val="Subtitle"/>
    <w:basedOn w:val="Normal"/>
    <w:link w:val="SubtitleChar"/>
    <w:qFormat/>
    <w:rsid w:val="00263957"/>
    <w:pPr>
      <w:spacing w:after="60"/>
      <w:jc w:val="center"/>
      <w:outlineLvl w:val="1"/>
    </w:pPr>
    <w:rPr>
      <w:rFonts w:ascii="Arial" w:hAnsi="Arial" w:cs="Arial"/>
    </w:rPr>
  </w:style>
  <w:style w:type="paragraph" w:styleId="TableofAuthorities">
    <w:name w:val="table of authorities"/>
    <w:basedOn w:val="Normal"/>
    <w:next w:val="Normal"/>
    <w:semiHidden/>
    <w:rsid w:val="00263957"/>
    <w:pPr>
      <w:ind w:left="240" w:hanging="240"/>
    </w:pPr>
    <w:rPr>
      <w:rFonts w:cs="Times"/>
    </w:rPr>
  </w:style>
  <w:style w:type="paragraph" w:styleId="TableofFigures">
    <w:name w:val="table of figures"/>
    <w:basedOn w:val="Normal"/>
    <w:next w:val="Normal"/>
    <w:semiHidden/>
    <w:rsid w:val="00263957"/>
    <w:pPr>
      <w:ind w:left="480" w:hanging="480"/>
    </w:pPr>
    <w:rPr>
      <w:rFonts w:cs="Times"/>
    </w:rPr>
  </w:style>
  <w:style w:type="paragraph" w:styleId="Title">
    <w:name w:val="Title"/>
    <w:basedOn w:val="Normal"/>
    <w:link w:val="TitleChar"/>
    <w:qFormat/>
    <w:rsid w:val="00263957"/>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263957"/>
    <w:pPr>
      <w:spacing w:before="120"/>
    </w:pPr>
    <w:rPr>
      <w:rFonts w:ascii="Arial" w:hAnsi="Arial" w:cs="Arial"/>
      <w:b/>
      <w:bCs/>
    </w:rPr>
  </w:style>
  <w:style w:type="paragraph" w:styleId="TOC1">
    <w:name w:val="toc 1"/>
    <w:basedOn w:val="Normal"/>
    <w:next w:val="Normal"/>
    <w:autoRedefine/>
    <w:semiHidden/>
    <w:rsid w:val="00263957"/>
    <w:rPr>
      <w:rFonts w:cs="Times"/>
    </w:rPr>
  </w:style>
  <w:style w:type="paragraph" w:styleId="TOC2">
    <w:name w:val="toc 2"/>
    <w:basedOn w:val="Normal"/>
    <w:next w:val="Normal"/>
    <w:autoRedefine/>
    <w:semiHidden/>
    <w:rsid w:val="00263957"/>
    <w:pPr>
      <w:ind w:left="240"/>
    </w:pPr>
    <w:rPr>
      <w:rFonts w:cs="Times"/>
    </w:rPr>
  </w:style>
  <w:style w:type="paragraph" w:styleId="TOC3">
    <w:name w:val="toc 3"/>
    <w:basedOn w:val="Normal"/>
    <w:next w:val="Normal"/>
    <w:autoRedefine/>
    <w:semiHidden/>
    <w:rsid w:val="00263957"/>
    <w:pPr>
      <w:ind w:left="480"/>
    </w:pPr>
    <w:rPr>
      <w:rFonts w:cs="Times"/>
    </w:rPr>
  </w:style>
  <w:style w:type="paragraph" w:styleId="TOC4">
    <w:name w:val="toc 4"/>
    <w:basedOn w:val="Normal"/>
    <w:next w:val="Normal"/>
    <w:autoRedefine/>
    <w:semiHidden/>
    <w:rsid w:val="00263957"/>
    <w:pPr>
      <w:ind w:left="720"/>
    </w:pPr>
    <w:rPr>
      <w:rFonts w:cs="Times"/>
    </w:rPr>
  </w:style>
  <w:style w:type="paragraph" w:styleId="TOC5">
    <w:name w:val="toc 5"/>
    <w:basedOn w:val="Normal"/>
    <w:next w:val="Normal"/>
    <w:autoRedefine/>
    <w:semiHidden/>
    <w:rsid w:val="00263957"/>
    <w:pPr>
      <w:ind w:left="960"/>
    </w:pPr>
    <w:rPr>
      <w:rFonts w:cs="Times"/>
    </w:rPr>
  </w:style>
  <w:style w:type="paragraph" w:styleId="TOC6">
    <w:name w:val="toc 6"/>
    <w:basedOn w:val="Normal"/>
    <w:next w:val="Normal"/>
    <w:autoRedefine/>
    <w:semiHidden/>
    <w:rsid w:val="00263957"/>
    <w:pPr>
      <w:ind w:left="1200"/>
    </w:pPr>
    <w:rPr>
      <w:rFonts w:cs="Times"/>
    </w:rPr>
  </w:style>
  <w:style w:type="paragraph" w:styleId="TOC7">
    <w:name w:val="toc 7"/>
    <w:basedOn w:val="Normal"/>
    <w:next w:val="Normal"/>
    <w:autoRedefine/>
    <w:semiHidden/>
    <w:rsid w:val="00263957"/>
    <w:pPr>
      <w:ind w:left="1440"/>
    </w:pPr>
    <w:rPr>
      <w:rFonts w:cs="Times"/>
    </w:rPr>
  </w:style>
  <w:style w:type="paragraph" w:styleId="TOC8">
    <w:name w:val="toc 8"/>
    <w:basedOn w:val="Normal"/>
    <w:next w:val="Normal"/>
    <w:autoRedefine/>
    <w:semiHidden/>
    <w:rsid w:val="00263957"/>
    <w:pPr>
      <w:ind w:left="1680"/>
    </w:pPr>
    <w:rPr>
      <w:rFonts w:cs="Times"/>
    </w:rPr>
  </w:style>
  <w:style w:type="paragraph" w:styleId="TOC9">
    <w:name w:val="toc 9"/>
    <w:basedOn w:val="Normal"/>
    <w:next w:val="Normal"/>
    <w:autoRedefine/>
    <w:semiHidden/>
    <w:rsid w:val="00263957"/>
    <w:pPr>
      <w:ind w:left="1920"/>
    </w:pPr>
    <w:rPr>
      <w:rFonts w:cs="Times"/>
    </w:rPr>
  </w:style>
  <w:style w:type="character" w:customStyle="1" w:styleId="SubheadinParagraph">
    <w:name w:val="Subhead in Paragraph"/>
    <w:basedOn w:val="DefaultParagraphFont"/>
    <w:rsid w:val="00263957"/>
  </w:style>
  <w:style w:type="paragraph" w:styleId="E-mailSignature">
    <w:name w:val="E-mail Signature"/>
    <w:basedOn w:val="Normal"/>
    <w:link w:val="E-mailSignatureChar"/>
    <w:rsid w:val="00263957"/>
    <w:rPr>
      <w:rFonts w:cs="Times"/>
    </w:rPr>
  </w:style>
  <w:style w:type="paragraph" w:styleId="HTMLAddress">
    <w:name w:val="HTML Address"/>
    <w:basedOn w:val="Normal"/>
    <w:link w:val="HTMLAddressChar"/>
    <w:rsid w:val="00263957"/>
    <w:rPr>
      <w:rFonts w:cs="Times"/>
      <w:i/>
      <w:iCs/>
    </w:rPr>
  </w:style>
  <w:style w:type="paragraph" w:styleId="HTMLPreformatted">
    <w:name w:val="HTML Preformatted"/>
    <w:basedOn w:val="Normal"/>
    <w:link w:val="HTMLPreformattedChar"/>
    <w:rsid w:val="00263957"/>
    <w:rPr>
      <w:rFonts w:ascii="Courier New" w:hAnsi="Courier New" w:cs="Courier New"/>
      <w:sz w:val="20"/>
      <w:szCs w:val="20"/>
    </w:rPr>
  </w:style>
  <w:style w:type="paragraph" w:styleId="NormalWeb">
    <w:name w:val="Normal (Web)"/>
    <w:basedOn w:val="Normal"/>
    <w:uiPriority w:val="99"/>
    <w:rsid w:val="00263957"/>
    <w:rPr>
      <w:rFonts w:cs="Times"/>
    </w:rPr>
  </w:style>
  <w:style w:type="paragraph" w:customStyle="1" w:styleId="H6">
    <w:name w:val="H6"/>
    <w:basedOn w:val="Normal"/>
    <w:next w:val="Normal"/>
    <w:rsid w:val="00263957"/>
    <w:pPr>
      <w:widowControl w:val="0"/>
      <w:snapToGrid w:val="0"/>
      <w:spacing w:before="100"/>
      <w:outlineLvl w:val="6"/>
    </w:pPr>
    <w:rPr>
      <w:rFonts w:ascii="Arial" w:hAnsi="Arial" w:cs="Arial"/>
      <w:b/>
      <w:bCs/>
      <w:sz w:val="20"/>
      <w:szCs w:val="20"/>
    </w:rPr>
  </w:style>
  <w:style w:type="paragraph" w:customStyle="1" w:styleId="Title2-Small">
    <w:name w:val="Title 2 - Small"/>
    <w:next w:val="Normal"/>
    <w:rsid w:val="00263957"/>
    <w:pPr>
      <w:autoSpaceDE w:val="0"/>
      <w:autoSpaceDN w:val="0"/>
      <w:jc w:val="center"/>
    </w:pPr>
    <w:rPr>
      <w:rFonts w:ascii="Helvetica" w:hAnsi="Helvetica" w:cs="Helvetica"/>
      <w:b/>
      <w:bCs/>
      <w:lang w:eastAsia="en-US"/>
    </w:rPr>
  </w:style>
  <w:style w:type="character" w:styleId="CommentReference">
    <w:name w:val="annotation reference"/>
    <w:uiPriority w:val="99"/>
    <w:rsid w:val="00263957"/>
    <w:rPr>
      <w:sz w:val="16"/>
      <w:szCs w:val="16"/>
    </w:rPr>
  </w:style>
  <w:style w:type="paragraph" w:customStyle="1" w:styleId="QuickA">
    <w:name w:val="Quick A."/>
    <w:basedOn w:val="Normal"/>
    <w:rsid w:val="00263957"/>
    <w:pPr>
      <w:widowControl w:val="0"/>
      <w:numPr>
        <w:numId w:val="14"/>
      </w:numPr>
    </w:pPr>
    <w:rPr>
      <w:rFonts w:cs="Times"/>
    </w:rPr>
  </w:style>
  <w:style w:type="paragraph" w:customStyle="1" w:styleId="sbirtop">
    <w:name w:val="sbirtop"/>
    <w:basedOn w:val="Normal"/>
    <w:rsid w:val="00263957"/>
    <w:pPr>
      <w:tabs>
        <w:tab w:val="num" w:pos="1440"/>
        <w:tab w:val="num" w:pos="1800"/>
      </w:tabs>
      <w:spacing w:before="100" w:after="240"/>
      <w:ind w:left="1440" w:hanging="720"/>
    </w:pPr>
    <w:rPr>
      <w:rFonts w:cs="Times"/>
    </w:rPr>
  </w:style>
  <w:style w:type="paragraph" w:customStyle="1" w:styleId="ReminderList1">
    <w:name w:val="Reminder List 1"/>
    <w:basedOn w:val="Normal"/>
    <w:rsid w:val="00263957"/>
    <w:pPr>
      <w:numPr>
        <w:numId w:val="12"/>
      </w:numPr>
      <w:tabs>
        <w:tab w:val="left" w:pos="360"/>
      </w:tabs>
      <w:spacing w:after="120" w:line="260" w:lineRule="atLeast"/>
    </w:pPr>
    <w:rPr>
      <w:rFonts w:ascii="Helvetica" w:hAnsi="Helvetica" w:cs="Helvetica"/>
      <w:b/>
      <w:bCs/>
      <w:color w:val="000000"/>
      <w:sz w:val="22"/>
      <w:szCs w:val="22"/>
    </w:rPr>
  </w:style>
  <w:style w:type="paragraph" w:customStyle="1" w:styleId="ReminderList2">
    <w:name w:val="Reminder List 2"/>
    <w:basedOn w:val="Normal"/>
    <w:rsid w:val="00263957"/>
    <w:pPr>
      <w:numPr>
        <w:numId w:val="11"/>
      </w:numPr>
      <w:tabs>
        <w:tab w:val="clear" w:pos="360"/>
        <w:tab w:val="left" w:pos="720"/>
      </w:tabs>
      <w:spacing w:after="60" w:line="260" w:lineRule="atLeast"/>
      <w:ind w:left="749"/>
    </w:pPr>
    <w:rPr>
      <w:rFonts w:ascii="Helvetica" w:hAnsi="Helvetica" w:cs="Helvetica"/>
      <w:color w:val="000000"/>
      <w:sz w:val="22"/>
      <w:szCs w:val="22"/>
    </w:rPr>
  </w:style>
  <w:style w:type="paragraph" w:customStyle="1" w:styleId="ReminderList3">
    <w:name w:val="Reminder List 3"/>
    <w:basedOn w:val="Normal"/>
    <w:rsid w:val="00263957"/>
    <w:pPr>
      <w:numPr>
        <w:numId w:val="13"/>
      </w:numPr>
      <w:tabs>
        <w:tab w:val="clear" w:pos="360"/>
        <w:tab w:val="left" w:pos="1080"/>
      </w:tabs>
      <w:spacing w:after="60"/>
      <w:ind w:left="1080"/>
    </w:pPr>
    <w:rPr>
      <w:rFonts w:ascii="Helvetica" w:hAnsi="Helvetica" w:cs="Helvetica"/>
      <w:sz w:val="22"/>
      <w:szCs w:val="22"/>
    </w:rPr>
  </w:style>
  <w:style w:type="character" w:styleId="Hyperlink">
    <w:name w:val="Hyperlink"/>
    <w:uiPriority w:val="99"/>
    <w:rsid w:val="00263957"/>
    <w:rPr>
      <w:color w:val="0000FF"/>
      <w:u w:val="single"/>
    </w:rPr>
  </w:style>
  <w:style w:type="paragraph" w:customStyle="1" w:styleId="DataField10pt">
    <w:name w:val="Data Field 10pt"/>
    <w:basedOn w:val="Normal"/>
    <w:rsid w:val="00263957"/>
    <w:rPr>
      <w:rFonts w:ascii="Arial" w:hAnsi="Arial" w:cs="Arial"/>
      <w:sz w:val="20"/>
      <w:szCs w:val="20"/>
    </w:rPr>
  </w:style>
  <w:style w:type="paragraph" w:customStyle="1" w:styleId="DataField11pt-Single">
    <w:name w:val="Data Field 11pt-Single"/>
    <w:basedOn w:val="Normal"/>
    <w:link w:val="DataField11pt-SingleChar"/>
    <w:rsid w:val="00925D28"/>
    <w:rPr>
      <w:rFonts w:ascii="Arial" w:hAnsi="Arial"/>
      <w:sz w:val="22"/>
      <w:szCs w:val="20"/>
      <w:lang w:val="x-none" w:eastAsia="x-none"/>
    </w:rPr>
  </w:style>
  <w:style w:type="character" w:customStyle="1" w:styleId="DataField11pt-SingleChar">
    <w:name w:val="Data Field 11pt-Single Char"/>
    <w:link w:val="DataField11pt-Single"/>
    <w:rsid w:val="005E5CC6"/>
    <w:rPr>
      <w:rFonts w:ascii="Arial" w:hAnsi="Arial" w:cs="Arial"/>
      <w:sz w:val="22"/>
    </w:rPr>
  </w:style>
  <w:style w:type="paragraph" w:customStyle="1" w:styleId="FormFooter">
    <w:name w:val="Form Footer"/>
    <w:basedOn w:val="Normal"/>
    <w:rsid w:val="00263957"/>
    <w:pPr>
      <w:tabs>
        <w:tab w:val="center" w:pos="5328"/>
        <w:tab w:val="right" w:pos="10728"/>
      </w:tabs>
      <w:ind w:left="58"/>
    </w:pPr>
    <w:rPr>
      <w:rFonts w:ascii="Arial" w:hAnsi="Arial" w:cs="Arial"/>
      <w:sz w:val="16"/>
      <w:szCs w:val="16"/>
    </w:rPr>
  </w:style>
  <w:style w:type="character" w:styleId="PageNumber">
    <w:name w:val="page number"/>
    <w:rsid w:val="00263957"/>
    <w:rPr>
      <w:rFonts w:ascii="Arial" w:hAnsi="Arial"/>
      <w:sz w:val="20"/>
      <w:u w:val="single"/>
    </w:rPr>
  </w:style>
  <w:style w:type="paragraph" w:customStyle="1" w:styleId="PIHeader">
    <w:name w:val="PI Header"/>
    <w:basedOn w:val="Normal"/>
    <w:rsid w:val="00263957"/>
    <w:pPr>
      <w:spacing w:after="40"/>
      <w:ind w:left="864"/>
    </w:pPr>
    <w:rPr>
      <w:rFonts w:ascii="Arial" w:hAnsi="Arial" w:cs="Arial"/>
      <w:sz w:val="16"/>
      <w:szCs w:val="20"/>
    </w:rPr>
  </w:style>
  <w:style w:type="paragraph" w:customStyle="1" w:styleId="FormFooterBorder">
    <w:name w:val="FormFooter/Border"/>
    <w:basedOn w:val="Footer"/>
    <w:rsid w:val="00263957"/>
    <w:pPr>
      <w:pBdr>
        <w:top w:val="single" w:sz="6" w:space="1" w:color="auto"/>
      </w:pBdr>
      <w:tabs>
        <w:tab w:val="clear" w:pos="4320"/>
        <w:tab w:val="clear" w:pos="8640"/>
        <w:tab w:val="center" w:pos="5400"/>
        <w:tab w:val="right" w:pos="10800"/>
      </w:tabs>
    </w:pPr>
    <w:rPr>
      <w:rFonts w:ascii="Arial" w:hAnsi="Arial" w:cs="Arial"/>
      <w:sz w:val="16"/>
      <w:szCs w:val="16"/>
    </w:rPr>
  </w:style>
  <w:style w:type="paragraph" w:styleId="BodyText2">
    <w:name w:val="Body Text 2"/>
    <w:basedOn w:val="Normal"/>
    <w:link w:val="BodyText2Char"/>
    <w:rsid w:val="005E5CC6"/>
    <w:pPr>
      <w:spacing w:after="120" w:line="480" w:lineRule="auto"/>
    </w:pPr>
    <w:rPr>
      <w:lang w:val="x-none" w:eastAsia="x-none"/>
    </w:rPr>
  </w:style>
  <w:style w:type="character" w:customStyle="1" w:styleId="BodyText2Char">
    <w:name w:val="Body Text 2 Char"/>
    <w:link w:val="BodyText2"/>
    <w:rsid w:val="005E5CC6"/>
    <w:rPr>
      <w:rFonts w:ascii="Times" w:hAnsi="Times"/>
      <w:sz w:val="24"/>
      <w:szCs w:val="24"/>
    </w:rPr>
  </w:style>
  <w:style w:type="paragraph" w:customStyle="1" w:styleId="HTMLBody">
    <w:name w:val="HTML Body"/>
    <w:rsid w:val="005E5CC6"/>
    <w:pPr>
      <w:autoSpaceDE w:val="0"/>
      <w:autoSpaceDN w:val="0"/>
      <w:jc w:val="both"/>
    </w:pPr>
    <w:rPr>
      <w:sz w:val="22"/>
      <w:szCs w:val="22"/>
      <w:lang w:eastAsia="en-US"/>
    </w:rPr>
  </w:style>
  <w:style w:type="character" w:styleId="Strong">
    <w:name w:val="Strong"/>
    <w:uiPriority w:val="22"/>
    <w:qFormat/>
    <w:rsid w:val="007D4712"/>
    <w:rPr>
      <w:b/>
      <w:bCs/>
    </w:rPr>
  </w:style>
  <w:style w:type="character" w:customStyle="1" w:styleId="A1">
    <w:name w:val="A1"/>
    <w:rsid w:val="0056541A"/>
    <w:rPr>
      <w:color w:val="000000"/>
      <w:sz w:val="8"/>
      <w:szCs w:val="8"/>
    </w:rPr>
  </w:style>
  <w:style w:type="paragraph" w:styleId="BalloonText">
    <w:name w:val="Balloon Text"/>
    <w:basedOn w:val="Normal"/>
    <w:link w:val="BalloonTextChar"/>
    <w:uiPriority w:val="99"/>
    <w:semiHidden/>
    <w:rsid w:val="00605474"/>
    <w:rPr>
      <w:rFonts w:ascii="Tahoma" w:hAnsi="Tahoma" w:cs="Tahoma"/>
      <w:sz w:val="16"/>
      <w:szCs w:val="16"/>
    </w:rPr>
  </w:style>
  <w:style w:type="paragraph" w:styleId="CommentSubject">
    <w:name w:val="annotation subject"/>
    <w:basedOn w:val="CommentText"/>
    <w:next w:val="CommentText"/>
    <w:link w:val="CommentSubjectChar"/>
    <w:uiPriority w:val="99"/>
    <w:rsid w:val="00605474"/>
    <w:rPr>
      <w:rFonts w:cs="Times New Roman"/>
      <w:b/>
      <w:bCs/>
    </w:rPr>
  </w:style>
  <w:style w:type="character" w:customStyle="1" w:styleId="CommentSubjectChar">
    <w:name w:val="Comment Subject Char"/>
    <w:basedOn w:val="CommentTextChar"/>
    <w:link w:val="CommentSubject"/>
    <w:uiPriority w:val="99"/>
    <w:rsid w:val="000F6831"/>
    <w:rPr>
      <w:rFonts w:ascii="Times" w:hAnsi="Times" w:cs="Times"/>
      <w:b/>
      <w:bCs/>
      <w:lang w:eastAsia="en-US"/>
    </w:rPr>
  </w:style>
  <w:style w:type="paragraph" w:customStyle="1" w:styleId="p2">
    <w:name w:val="p2"/>
    <w:basedOn w:val="Normal"/>
    <w:rsid w:val="00565333"/>
    <w:pPr>
      <w:widowControl w:val="0"/>
      <w:tabs>
        <w:tab w:val="left" w:pos="720"/>
      </w:tabs>
      <w:autoSpaceDE/>
      <w:autoSpaceDN/>
      <w:spacing w:line="260" w:lineRule="atLeast"/>
    </w:pPr>
    <w:rPr>
      <w:rFonts w:ascii="Times New Roman" w:hAnsi="Times New Roman"/>
      <w:snapToGrid w:val="0"/>
      <w:szCs w:val="20"/>
    </w:rPr>
  </w:style>
  <w:style w:type="paragraph" w:customStyle="1" w:styleId="Bullet1">
    <w:name w:val="Bullet #1"/>
    <w:basedOn w:val="List"/>
    <w:autoRedefine/>
    <w:rsid w:val="004610E8"/>
    <w:pPr>
      <w:numPr>
        <w:ilvl w:val="2"/>
        <w:numId w:val="15"/>
      </w:numPr>
      <w:tabs>
        <w:tab w:val="left" w:pos="720"/>
      </w:tabs>
      <w:autoSpaceDE/>
      <w:autoSpaceDN/>
      <w:ind w:left="720"/>
      <w:jc w:val="both"/>
    </w:pPr>
    <w:rPr>
      <w:rFonts w:ascii="Arial" w:hAnsi="Arial" w:cs="Arial"/>
      <w:sz w:val="22"/>
      <w:szCs w:val="22"/>
    </w:rPr>
  </w:style>
  <w:style w:type="paragraph" w:customStyle="1" w:styleId="Level1">
    <w:name w:val="Level 1"/>
    <w:basedOn w:val="Normal"/>
    <w:rsid w:val="005F3F7B"/>
    <w:pPr>
      <w:widowControl w:val="0"/>
      <w:tabs>
        <w:tab w:val="num" w:pos="720"/>
      </w:tabs>
      <w:autoSpaceDE/>
      <w:autoSpaceDN/>
      <w:ind w:left="720" w:hanging="720"/>
      <w:outlineLvl w:val="0"/>
    </w:pPr>
    <w:rPr>
      <w:rFonts w:ascii="Times New Roman" w:hAnsi="Times New Roman"/>
    </w:rPr>
  </w:style>
  <w:style w:type="character" w:customStyle="1" w:styleId="style41">
    <w:name w:val="style41"/>
    <w:rsid w:val="005F3F7B"/>
    <w:rPr>
      <w:rFonts w:ascii="Arial" w:hAnsi="Arial" w:cs="Arial" w:hint="default"/>
    </w:rPr>
  </w:style>
  <w:style w:type="paragraph" w:customStyle="1" w:styleId="Default">
    <w:name w:val="Default"/>
    <w:rsid w:val="00C47602"/>
    <w:pPr>
      <w:widowControl w:val="0"/>
      <w:autoSpaceDE w:val="0"/>
      <w:autoSpaceDN w:val="0"/>
      <w:adjustRightInd w:val="0"/>
    </w:pPr>
    <w:rPr>
      <w:rFonts w:ascii="Arial" w:hAnsi="Arial" w:cs="Arial"/>
      <w:color w:val="000000"/>
      <w:sz w:val="24"/>
      <w:szCs w:val="24"/>
      <w:lang w:eastAsia="en-US"/>
    </w:rPr>
  </w:style>
  <w:style w:type="paragraph" w:customStyle="1" w:styleId="ColorfulList-Accent11">
    <w:name w:val="Colorful List - Accent 11"/>
    <w:basedOn w:val="Normal"/>
    <w:uiPriority w:val="34"/>
    <w:qFormat/>
    <w:rsid w:val="004C1207"/>
    <w:pPr>
      <w:ind w:left="720"/>
      <w:contextualSpacing/>
    </w:pPr>
  </w:style>
  <w:style w:type="paragraph" w:customStyle="1" w:styleId="Body">
    <w:name w:val="Body"/>
    <w:rsid w:val="009F597E"/>
    <w:pPr>
      <w:jc w:val="both"/>
    </w:pPr>
    <w:rPr>
      <w:rFonts w:ascii="Times" w:hAnsi="Times"/>
      <w:sz w:val="24"/>
      <w:lang w:eastAsia="en-US"/>
    </w:rPr>
  </w:style>
  <w:style w:type="paragraph" w:customStyle="1" w:styleId="FormFieldCaption">
    <w:name w:val="Form Field Caption"/>
    <w:basedOn w:val="Normal"/>
    <w:rsid w:val="009B5688"/>
    <w:pPr>
      <w:tabs>
        <w:tab w:val="left" w:pos="270"/>
      </w:tabs>
    </w:pPr>
    <w:rPr>
      <w:rFonts w:ascii="Arial" w:hAnsi="Arial" w:cs="Arial"/>
      <w:sz w:val="16"/>
      <w:szCs w:val="16"/>
    </w:rPr>
  </w:style>
  <w:style w:type="paragraph" w:customStyle="1" w:styleId="DataField11pt">
    <w:name w:val="Data Field 11pt"/>
    <w:basedOn w:val="Normal"/>
    <w:link w:val="DataField11ptChar"/>
    <w:rsid w:val="00AB1BF4"/>
    <w:pPr>
      <w:spacing w:line="300" w:lineRule="exact"/>
    </w:pPr>
    <w:rPr>
      <w:rFonts w:ascii="Arial" w:hAnsi="Arial" w:cs="Arial"/>
      <w:sz w:val="22"/>
      <w:szCs w:val="20"/>
    </w:rPr>
  </w:style>
  <w:style w:type="character" w:customStyle="1" w:styleId="DataField11ptChar">
    <w:name w:val="Data Field 11pt Char"/>
    <w:link w:val="DataField11pt"/>
    <w:rsid w:val="00AB1BF4"/>
    <w:rPr>
      <w:rFonts w:ascii="Arial" w:hAnsi="Arial" w:cs="Arial"/>
      <w:sz w:val="22"/>
    </w:rPr>
  </w:style>
  <w:style w:type="character" w:customStyle="1" w:styleId="InternetLink">
    <w:name w:val="Internet Link"/>
    <w:rsid w:val="008504A2"/>
    <w:rPr>
      <w:color w:val="000080"/>
      <w:u w:val="single"/>
      <w:lang w:val="uz-Cyrl-UZ" w:eastAsia="uz-Cyrl-UZ" w:bidi="uz-Cyrl-UZ"/>
    </w:rPr>
  </w:style>
  <w:style w:type="character" w:customStyle="1" w:styleId="apple-style-span">
    <w:name w:val="apple-style-span"/>
    <w:basedOn w:val="DefaultParagraphFont"/>
    <w:rsid w:val="007F3846"/>
  </w:style>
  <w:style w:type="character" w:customStyle="1" w:styleId="apple-converted-space">
    <w:name w:val="apple-converted-space"/>
    <w:basedOn w:val="DefaultParagraphFont"/>
    <w:rsid w:val="007F3846"/>
  </w:style>
  <w:style w:type="paragraph" w:styleId="ListParagraph">
    <w:name w:val="List Paragraph"/>
    <w:basedOn w:val="Normal"/>
    <w:uiPriority w:val="1"/>
    <w:qFormat/>
    <w:rsid w:val="000F6831"/>
    <w:pPr>
      <w:widowControl w:val="0"/>
      <w:autoSpaceDE/>
      <w:autoSpaceDN/>
    </w:pPr>
    <w:rPr>
      <w:rFonts w:asciiTheme="minorHAnsi" w:eastAsiaTheme="minorHAnsi" w:hAnsiTheme="minorHAnsi" w:cstheme="minorBidi"/>
      <w:sz w:val="22"/>
      <w:szCs w:val="22"/>
    </w:rPr>
  </w:style>
  <w:style w:type="paragraph" w:customStyle="1" w:styleId="TableParagraph">
    <w:name w:val="Table Paragraph"/>
    <w:basedOn w:val="Normal"/>
    <w:uiPriority w:val="1"/>
    <w:qFormat/>
    <w:rsid w:val="000F6831"/>
    <w:pPr>
      <w:widowControl w:val="0"/>
      <w:autoSpaceDE/>
      <w:autoSpaceDN/>
    </w:pPr>
    <w:rPr>
      <w:rFonts w:asciiTheme="minorHAnsi" w:eastAsiaTheme="minorHAnsi" w:hAnsiTheme="minorHAnsi" w:cstheme="minorBidi"/>
      <w:sz w:val="22"/>
      <w:szCs w:val="22"/>
    </w:rPr>
  </w:style>
  <w:style w:type="character" w:customStyle="1" w:styleId="size3navy">
    <w:name w:val="size_3_navy"/>
    <w:basedOn w:val="DefaultParagraphFont"/>
    <w:rsid w:val="000F6831"/>
  </w:style>
  <w:style w:type="character" w:styleId="FollowedHyperlink">
    <w:name w:val="FollowedHyperlink"/>
    <w:basedOn w:val="DefaultParagraphFont"/>
    <w:uiPriority w:val="99"/>
    <w:rsid w:val="000F6831"/>
    <w:rPr>
      <w:color w:val="800080"/>
      <w:u w:val="single"/>
    </w:rPr>
  </w:style>
  <w:style w:type="character" w:customStyle="1" w:styleId="size2navy1">
    <w:name w:val="size_2_navy1"/>
    <w:basedOn w:val="DefaultParagraphFont"/>
    <w:rsid w:val="000F6831"/>
    <w:rPr>
      <w:rFonts w:ascii="Arial" w:hAnsi="Arial" w:cs="Arial" w:hint="default"/>
      <w:color w:val="2D4D80"/>
      <w:sz w:val="20"/>
      <w:szCs w:val="20"/>
    </w:rPr>
  </w:style>
  <w:style w:type="character" w:customStyle="1" w:styleId="size2black">
    <w:name w:val="size_2_black"/>
    <w:basedOn w:val="DefaultParagraphFont"/>
    <w:rsid w:val="000F6831"/>
  </w:style>
  <w:style w:type="character" w:styleId="Emphasis">
    <w:name w:val="Emphasis"/>
    <w:basedOn w:val="DefaultParagraphFont"/>
    <w:uiPriority w:val="20"/>
    <w:qFormat/>
    <w:rsid w:val="000F6831"/>
    <w:rPr>
      <w:i/>
      <w:iCs/>
    </w:rPr>
  </w:style>
  <w:style w:type="paragraph" w:customStyle="1" w:styleId="OmniPage304">
    <w:name w:val="OmniPage #304"/>
    <w:basedOn w:val="Normal"/>
    <w:rsid w:val="00226C42"/>
    <w:pPr>
      <w:autoSpaceDE/>
      <w:autoSpaceDN/>
      <w:spacing w:line="240" w:lineRule="exact"/>
      <w:ind w:left="90" w:right="45" w:firstLine="495"/>
      <w:jc w:val="both"/>
    </w:pPr>
    <w:rPr>
      <w:rFonts w:ascii="Times New Roman" w:hAnsi="Times New Roman"/>
      <w:sz w:val="20"/>
      <w:szCs w:val="20"/>
    </w:rPr>
  </w:style>
  <w:style w:type="paragraph" w:customStyle="1" w:styleId="OmniPage770">
    <w:name w:val="OmniPage #770"/>
    <w:basedOn w:val="Normal"/>
    <w:rsid w:val="00226C42"/>
    <w:pPr>
      <w:tabs>
        <w:tab w:val="left" w:pos="2820"/>
        <w:tab w:val="right" w:pos="8781"/>
      </w:tabs>
      <w:autoSpaceDE/>
      <w:autoSpaceDN/>
      <w:spacing w:line="240" w:lineRule="atLeast"/>
      <w:ind w:right="45"/>
    </w:pPr>
    <w:rPr>
      <w:rFonts w:ascii="Times New Roman" w:hAnsi="Times New Roman"/>
      <w:sz w:val="20"/>
      <w:szCs w:val="20"/>
    </w:rPr>
  </w:style>
  <w:style w:type="paragraph" w:customStyle="1" w:styleId="OmniPage771">
    <w:name w:val="OmniPage #771"/>
    <w:basedOn w:val="Normal"/>
    <w:rsid w:val="00226C42"/>
    <w:pPr>
      <w:autoSpaceDE/>
      <w:autoSpaceDN/>
      <w:spacing w:line="240" w:lineRule="atLeast"/>
      <w:ind w:right="5205"/>
    </w:pPr>
    <w:rPr>
      <w:rFonts w:ascii="Times New Roman" w:hAnsi="Times New Roman"/>
      <w:sz w:val="20"/>
      <w:szCs w:val="20"/>
    </w:rPr>
  </w:style>
  <w:style w:type="paragraph" w:customStyle="1" w:styleId="OmniPage772">
    <w:name w:val="OmniPage #772"/>
    <w:basedOn w:val="Normal"/>
    <w:rsid w:val="00226C42"/>
    <w:pPr>
      <w:tabs>
        <w:tab w:val="left" w:pos="2805"/>
        <w:tab w:val="right" w:pos="5331"/>
      </w:tabs>
      <w:autoSpaceDE/>
      <w:autoSpaceDN/>
      <w:spacing w:line="240" w:lineRule="atLeast"/>
      <w:ind w:right="3495"/>
    </w:pPr>
    <w:rPr>
      <w:rFonts w:ascii="Times New Roman" w:hAnsi="Times New Roman"/>
      <w:sz w:val="20"/>
      <w:szCs w:val="20"/>
    </w:rPr>
  </w:style>
  <w:style w:type="paragraph" w:customStyle="1" w:styleId="OmniPage773">
    <w:name w:val="OmniPage #773"/>
    <w:basedOn w:val="Normal"/>
    <w:rsid w:val="00226C42"/>
    <w:pPr>
      <w:autoSpaceDE/>
      <w:autoSpaceDN/>
      <w:spacing w:line="240" w:lineRule="atLeast"/>
      <w:ind w:right="4740"/>
    </w:pPr>
    <w:rPr>
      <w:rFonts w:ascii="Times New Roman" w:hAnsi="Times New Roman"/>
      <w:sz w:val="20"/>
      <w:szCs w:val="20"/>
    </w:rPr>
  </w:style>
  <w:style w:type="paragraph" w:customStyle="1" w:styleId="OmniPage774">
    <w:name w:val="OmniPage #774"/>
    <w:basedOn w:val="Normal"/>
    <w:rsid w:val="00226C42"/>
    <w:pPr>
      <w:tabs>
        <w:tab w:val="left" w:pos="2805"/>
        <w:tab w:val="right" w:pos="5436"/>
      </w:tabs>
      <w:autoSpaceDE/>
      <w:autoSpaceDN/>
      <w:spacing w:line="240" w:lineRule="atLeast"/>
      <w:ind w:right="3390"/>
    </w:pPr>
    <w:rPr>
      <w:rFonts w:ascii="Times New Roman" w:hAnsi="Times New Roman"/>
      <w:sz w:val="20"/>
      <w:szCs w:val="20"/>
    </w:rPr>
  </w:style>
  <w:style w:type="paragraph" w:customStyle="1" w:styleId="OmniPage775">
    <w:name w:val="OmniPage #775"/>
    <w:basedOn w:val="Normal"/>
    <w:rsid w:val="00226C42"/>
    <w:pPr>
      <w:autoSpaceDE/>
      <w:autoSpaceDN/>
      <w:spacing w:line="204" w:lineRule="exact"/>
      <w:ind w:right="6225"/>
    </w:pPr>
    <w:rPr>
      <w:rFonts w:ascii="Times New Roman" w:hAnsi="Times New Roman"/>
      <w:sz w:val="20"/>
      <w:szCs w:val="20"/>
    </w:rPr>
  </w:style>
  <w:style w:type="paragraph" w:customStyle="1" w:styleId="OmniPage776">
    <w:name w:val="OmniPage #776"/>
    <w:basedOn w:val="Normal"/>
    <w:rsid w:val="00226C42"/>
    <w:pPr>
      <w:tabs>
        <w:tab w:val="left" w:pos="2805"/>
        <w:tab w:val="right" w:pos="7791"/>
      </w:tabs>
      <w:autoSpaceDE/>
      <w:autoSpaceDN/>
      <w:spacing w:line="240" w:lineRule="exact"/>
      <w:ind w:right="1035"/>
    </w:pPr>
    <w:rPr>
      <w:rFonts w:ascii="Times New Roman" w:hAnsi="Times New Roman"/>
      <w:sz w:val="20"/>
      <w:szCs w:val="20"/>
    </w:rPr>
  </w:style>
  <w:style w:type="paragraph" w:customStyle="1" w:styleId="FormInstructions">
    <w:name w:val="Form Instructions"/>
    <w:basedOn w:val="Normal"/>
    <w:link w:val="FormInstructionsChar"/>
    <w:rsid w:val="00226C42"/>
    <w:pPr>
      <w:tabs>
        <w:tab w:val="left" w:pos="252"/>
      </w:tabs>
      <w:spacing w:before="20"/>
      <w:jc w:val="both"/>
    </w:pPr>
    <w:rPr>
      <w:rFonts w:ascii="Arial" w:hAnsi="Arial"/>
      <w:sz w:val="15"/>
      <w:szCs w:val="14"/>
      <w:lang w:val="x-none" w:eastAsia="x-none"/>
    </w:rPr>
  </w:style>
  <w:style w:type="character" w:customStyle="1" w:styleId="FormInstructionsChar">
    <w:name w:val="Form Instructions Char"/>
    <w:link w:val="FormInstructions"/>
    <w:rsid w:val="00226C42"/>
    <w:rPr>
      <w:rFonts w:ascii="Arial" w:hAnsi="Arial"/>
      <w:sz w:val="15"/>
      <w:szCs w:val="14"/>
      <w:lang w:val="x-none" w:eastAsia="x-none"/>
    </w:rPr>
  </w:style>
  <w:style w:type="paragraph" w:customStyle="1" w:styleId="SingleSp11pt">
    <w:name w:val="SingleSp11pt"/>
    <w:basedOn w:val="DataField11pt"/>
    <w:link w:val="SingleSp11ptChar"/>
    <w:rsid w:val="00226C42"/>
    <w:pPr>
      <w:spacing w:line="240" w:lineRule="auto"/>
    </w:pPr>
    <w:rPr>
      <w:rFonts w:cs="Times New Roman"/>
      <w:lang w:val="x-none" w:eastAsia="x-none"/>
    </w:rPr>
  </w:style>
  <w:style w:type="character" w:customStyle="1" w:styleId="SingleSp11ptChar">
    <w:name w:val="SingleSp11pt Char"/>
    <w:link w:val="SingleSp11pt"/>
    <w:rsid w:val="00226C42"/>
    <w:rPr>
      <w:rFonts w:ascii="Arial" w:hAnsi="Arial"/>
      <w:sz w:val="22"/>
      <w:lang w:val="x-none" w:eastAsia="x-none"/>
    </w:rPr>
  </w:style>
  <w:style w:type="paragraph" w:customStyle="1" w:styleId="StyleFormInstructions8pt">
    <w:name w:val="Style Form Instructions + 8 pt"/>
    <w:basedOn w:val="FormInstructions"/>
    <w:link w:val="StyleFormInstructions8ptChar"/>
    <w:rsid w:val="00226C42"/>
    <w:rPr>
      <w:sz w:val="16"/>
    </w:rPr>
  </w:style>
  <w:style w:type="character" w:customStyle="1" w:styleId="StyleFormInstructions8ptChar">
    <w:name w:val="Style Form Instructions + 8 pt Char"/>
    <w:link w:val="StyleFormInstructions8pt"/>
    <w:rsid w:val="00226C42"/>
    <w:rPr>
      <w:rFonts w:ascii="Arial" w:hAnsi="Arial"/>
      <w:sz w:val="16"/>
      <w:szCs w:val="14"/>
      <w:lang w:val="x-none" w:eastAsia="x-none"/>
    </w:rPr>
  </w:style>
  <w:style w:type="paragraph" w:customStyle="1" w:styleId="Arial10BoldText">
    <w:name w:val="Arial10BoldText"/>
    <w:basedOn w:val="Normal"/>
    <w:rsid w:val="00226C42"/>
    <w:pPr>
      <w:spacing w:before="20" w:after="20"/>
    </w:pPr>
    <w:rPr>
      <w:rFonts w:ascii="Arial" w:hAnsi="Arial" w:cs="Arial"/>
      <w:b/>
      <w:bCs/>
      <w:sz w:val="20"/>
      <w:szCs w:val="20"/>
    </w:rPr>
  </w:style>
  <w:style w:type="paragraph" w:customStyle="1" w:styleId="Arial9BoldText">
    <w:name w:val="Arial9BoldText"/>
    <w:basedOn w:val="Normal"/>
    <w:rsid w:val="00226C42"/>
    <w:pPr>
      <w:spacing w:before="20" w:after="20"/>
    </w:pPr>
    <w:rPr>
      <w:rFonts w:ascii="Arial" w:hAnsi="Arial" w:cs="Arial"/>
      <w:b/>
      <w:bCs/>
      <w:sz w:val="18"/>
      <w:szCs w:val="20"/>
    </w:rPr>
  </w:style>
  <w:style w:type="paragraph" w:customStyle="1" w:styleId="OmniPage1287">
    <w:name w:val="OmniPage #1287"/>
    <w:basedOn w:val="Normal"/>
    <w:rsid w:val="00226C42"/>
    <w:pPr>
      <w:autoSpaceDE/>
      <w:autoSpaceDN/>
      <w:spacing w:line="240" w:lineRule="exact"/>
      <w:ind w:left="60" w:right="75" w:firstLine="495"/>
      <w:jc w:val="both"/>
    </w:pPr>
    <w:rPr>
      <w:rFonts w:ascii="Times New Roman" w:hAnsi="Times New Roman"/>
      <w:sz w:val="20"/>
      <w:szCs w:val="20"/>
    </w:rPr>
  </w:style>
  <w:style w:type="character" w:customStyle="1" w:styleId="BalloonTextChar">
    <w:name w:val="Balloon Text Char"/>
    <w:link w:val="BalloonText"/>
    <w:uiPriority w:val="99"/>
    <w:semiHidden/>
    <w:rsid w:val="00226C42"/>
    <w:rPr>
      <w:rFonts w:ascii="Tahoma" w:hAnsi="Tahoma" w:cs="Tahoma"/>
      <w:sz w:val="16"/>
      <w:szCs w:val="16"/>
      <w:lang w:eastAsia="en-US"/>
    </w:rPr>
  </w:style>
  <w:style w:type="paragraph" w:styleId="NoSpacing">
    <w:name w:val="No Spacing"/>
    <w:link w:val="NoSpacingChar"/>
    <w:uiPriority w:val="1"/>
    <w:qFormat/>
    <w:rsid w:val="00226C42"/>
    <w:pPr>
      <w:widowControl w:val="0"/>
    </w:pPr>
    <w:rPr>
      <w:rFonts w:ascii="Calibri" w:eastAsia="Calibri" w:hAnsi="Calibri"/>
      <w:sz w:val="22"/>
      <w:szCs w:val="22"/>
      <w:lang w:eastAsia="en-US"/>
    </w:rPr>
  </w:style>
  <w:style w:type="paragraph" w:customStyle="1" w:styleId="Level1Text">
    <w:name w:val="Level 1 Text"/>
    <w:basedOn w:val="Normal"/>
    <w:rsid w:val="00226C42"/>
    <w:pPr>
      <w:autoSpaceDE/>
      <w:autoSpaceDN/>
      <w:spacing w:before="80" w:after="80"/>
      <w:ind w:left="540"/>
      <w:jc w:val="both"/>
    </w:pPr>
    <w:rPr>
      <w:rFonts w:ascii="Bookman" w:hAnsi="Bookman"/>
      <w:sz w:val="20"/>
      <w:szCs w:val="20"/>
    </w:rPr>
  </w:style>
  <w:style w:type="paragraph" w:customStyle="1" w:styleId="Level2Text">
    <w:name w:val="Level 2 Text"/>
    <w:basedOn w:val="Normal"/>
    <w:uiPriority w:val="99"/>
    <w:rsid w:val="00226C42"/>
    <w:pPr>
      <w:autoSpaceDE/>
      <w:autoSpaceDN/>
      <w:spacing w:before="80" w:after="80"/>
      <w:ind w:left="980"/>
      <w:jc w:val="both"/>
    </w:pPr>
    <w:rPr>
      <w:rFonts w:ascii="Bookman" w:hAnsi="Bookman"/>
      <w:sz w:val="20"/>
      <w:szCs w:val="20"/>
    </w:rPr>
  </w:style>
  <w:style w:type="paragraph" w:styleId="Revision">
    <w:name w:val="Revision"/>
    <w:hidden/>
    <w:uiPriority w:val="99"/>
    <w:semiHidden/>
    <w:rsid w:val="00226C42"/>
    <w:rPr>
      <w:rFonts w:ascii="Times" w:hAnsi="Times"/>
      <w:sz w:val="24"/>
      <w:szCs w:val="24"/>
      <w:lang w:eastAsia="en-US"/>
    </w:rPr>
  </w:style>
  <w:style w:type="character" w:customStyle="1" w:styleId="Heading3Char">
    <w:name w:val="Heading 3 Char"/>
    <w:link w:val="Heading3"/>
    <w:uiPriority w:val="9"/>
    <w:rsid w:val="00F74770"/>
    <w:rPr>
      <w:rFonts w:ascii="Arial" w:hAnsi="Arial" w:cs="Arial"/>
      <w:b/>
      <w:bCs/>
      <w:iCs/>
      <w:sz w:val="22"/>
      <w:szCs w:val="24"/>
      <w:lang w:eastAsia="en-US"/>
    </w:rPr>
  </w:style>
  <w:style w:type="paragraph" w:customStyle="1" w:styleId="OmniPage1028">
    <w:name w:val="OmniPage #1028"/>
    <w:basedOn w:val="Normal"/>
    <w:rsid w:val="00226C42"/>
    <w:pPr>
      <w:autoSpaceDE/>
      <w:autoSpaceDN/>
      <w:spacing w:line="240" w:lineRule="atLeast"/>
      <w:ind w:right="45" w:firstLine="255"/>
      <w:jc w:val="both"/>
    </w:pPr>
    <w:rPr>
      <w:rFonts w:ascii="Times New Roman" w:hAnsi="Times New Roman"/>
      <w:sz w:val="20"/>
      <w:szCs w:val="20"/>
    </w:rPr>
  </w:style>
  <w:style w:type="paragraph" w:customStyle="1" w:styleId="datafield11pt0">
    <w:name w:val="datafield11pt"/>
    <w:basedOn w:val="Normal"/>
    <w:rsid w:val="00226C42"/>
    <w:pPr>
      <w:autoSpaceDE/>
      <w:autoSpaceDN/>
      <w:spacing w:line="300" w:lineRule="atLeast"/>
    </w:pPr>
    <w:rPr>
      <w:rFonts w:ascii="Arial" w:hAnsi="Arial" w:cs="Arial"/>
      <w:sz w:val="22"/>
      <w:szCs w:val="22"/>
    </w:rPr>
  </w:style>
  <w:style w:type="character" w:customStyle="1" w:styleId="spelle">
    <w:name w:val="spelle"/>
    <w:rsid w:val="00226C42"/>
  </w:style>
  <w:style w:type="character" w:customStyle="1" w:styleId="BodyTextIndent3Char">
    <w:name w:val="Body Text Indent 3 Char"/>
    <w:link w:val="BodyTextIndent3"/>
    <w:rsid w:val="00226C42"/>
    <w:rPr>
      <w:rFonts w:ascii="Times" w:hAnsi="Times" w:cs="Times"/>
      <w:sz w:val="16"/>
      <w:szCs w:val="16"/>
      <w:lang w:eastAsia="en-US"/>
    </w:rPr>
  </w:style>
  <w:style w:type="character" w:customStyle="1" w:styleId="TitleChar">
    <w:name w:val="Title Char"/>
    <w:link w:val="Title"/>
    <w:rsid w:val="00226C42"/>
    <w:rPr>
      <w:rFonts w:ascii="Arial" w:hAnsi="Arial" w:cs="Arial"/>
      <w:b/>
      <w:bCs/>
      <w:kern w:val="28"/>
      <w:sz w:val="32"/>
      <w:szCs w:val="32"/>
      <w:lang w:eastAsia="en-US"/>
    </w:rPr>
  </w:style>
  <w:style w:type="character" w:customStyle="1" w:styleId="BodyText3Char">
    <w:name w:val="Body Text 3 Char"/>
    <w:link w:val="BodyText3"/>
    <w:rsid w:val="00226C42"/>
    <w:rPr>
      <w:rFonts w:ascii="Times" w:hAnsi="Times" w:cs="Times"/>
      <w:sz w:val="16"/>
      <w:szCs w:val="16"/>
      <w:lang w:eastAsia="en-US"/>
    </w:rPr>
  </w:style>
  <w:style w:type="character" w:customStyle="1" w:styleId="Heading4Char">
    <w:name w:val="Heading 4 Char"/>
    <w:link w:val="Heading4"/>
    <w:uiPriority w:val="9"/>
    <w:rsid w:val="00F27365"/>
    <w:rPr>
      <w:rFonts w:ascii="Arial" w:hAnsi="Arial" w:cs="Arial"/>
      <w:b/>
      <w:bCs/>
      <w:sz w:val="22"/>
      <w:szCs w:val="24"/>
      <w:lang w:eastAsia="en-US"/>
    </w:rPr>
  </w:style>
  <w:style w:type="paragraph" w:customStyle="1" w:styleId="black">
    <w:name w:val="black"/>
    <w:basedOn w:val="Normal"/>
    <w:rsid w:val="00CC6993"/>
    <w:pPr>
      <w:autoSpaceDE/>
      <w:autoSpaceDN/>
      <w:spacing w:before="100" w:beforeAutospacing="1" w:after="100" w:afterAutospacing="1"/>
    </w:pPr>
    <w:rPr>
      <w:rFonts w:eastAsiaTheme="minorEastAsia" w:cstheme="minorBidi"/>
      <w:sz w:val="20"/>
      <w:szCs w:val="20"/>
    </w:rPr>
  </w:style>
  <w:style w:type="character" w:customStyle="1" w:styleId="size3red1">
    <w:name w:val="size_3_red1"/>
    <w:rsid w:val="00B37264"/>
    <w:rPr>
      <w:rFonts w:ascii="Arial" w:hAnsi="Arial" w:cs="Arial" w:hint="default"/>
      <w:i w:val="0"/>
      <w:iCs w:val="0"/>
      <w:color w:val="000000"/>
      <w:sz w:val="24"/>
      <w:szCs w:val="24"/>
    </w:rPr>
  </w:style>
  <w:style w:type="character" w:customStyle="1" w:styleId="person-suffix">
    <w:name w:val="person-suffix"/>
    <w:basedOn w:val="DefaultParagraphFont"/>
    <w:rsid w:val="007F0BFD"/>
  </w:style>
  <w:style w:type="character" w:customStyle="1" w:styleId="field">
    <w:name w:val="field"/>
    <w:basedOn w:val="DefaultParagraphFont"/>
    <w:rsid w:val="00A96B5A"/>
  </w:style>
  <w:style w:type="character" w:customStyle="1" w:styleId="st1">
    <w:name w:val="st1"/>
    <w:basedOn w:val="DefaultParagraphFont"/>
    <w:rsid w:val="00AB2CDB"/>
  </w:style>
  <w:style w:type="character" w:customStyle="1" w:styleId="Heading5Char">
    <w:name w:val="Heading 5 Char"/>
    <w:basedOn w:val="DefaultParagraphFont"/>
    <w:link w:val="Heading5"/>
    <w:rsid w:val="00F74770"/>
    <w:rPr>
      <w:rFonts w:ascii="Arial" w:hAnsi="Arial" w:cs="Times"/>
      <w:sz w:val="22"/>
      <w:szCs w:val="22"/>
      <w:lang w:eastAsia="en-US"/>
    </w:rPr>
  </w:style>
  <w:style w:type="character" w:customStyle="1" w:styleId="Heading6Char">
    <w:name w:val="Heading 6 Char"/>
    <w:basedOn w:val="DefaultParagraphFont"/>
    <w:link w:val="Heading6"/>
    <w:rsid w:val="00F74770"/>
    <w:rPr>
      <w:rFonts w:ascii="Arial" w:hAnsi="Arial" w:cs="Times"/>
      <w:i/>
      <w:iCs/>
      <w:sz w:val="22"/>
      <w:szCs w:val="22"/>
      <w:lang w:eastAsia="en-US"/>
    </w:rPr>
  </w:style>
  <w:style w:type="character" w:customStyle="1" w:styleId="HTMLAddressChar">
    <w:name w:val="HTML Address Char"/>
    <w:basedOn w:val="DefaultParagraphFont"/>
    <w:link w:val="HTMLAddress"/>
    <w:rsid w:val="00CC7304"/>
    <w:rPr>
      <w:rFonts w:ascii="Times" w:hAnsi="Times" w:cs="Times"/>
      <w:i/>
      <w:iCs/>
      <w:sz w:val="24"/>
      <w:szCs w:val="24"/>
      <w:lang w:eastAsia="en-US"/>
    </w:rPr>
  </w:style>
  <w:style w:type="numbering" w:customStyle="1" w:styleId="NoList1">
    <w:name w:val="No List1"/>
    <w:next w:val="NoList"/>
    <w:uiPriority w:val="99"/>
    <w:semiHidden/>
    <w:unhideWhenUsed/>
    <w:rsid w:val="00F27365"/>
  </w:style>
  <w:style w:type="character" w:customStyle="1" w:styleId="Heading7Char">
    <w:name w:val="Heading 7 Char"/>
    <w:basedOn w:val="DefaultParagraphFont"/>
    <w:link w:val="Heading7"/>
    <w:rsid w:val="00F27365"/>
    <w:rPr>
      <w:rFonts w:ascii="Arial" w:hAnsi="Arial" w:cs="Arial"/>
      <w:lang w:eastAsia="en-US"/>
    </w:rPr>
  </w:style>
  <w:style w:type="character" w:customStyle="1" w:styleId="Heading8Char">
    <w:name w:val="Heading 8 Char"/>
    <w:basedOn w:val="DefaultParagraphFont"/>
    <w:link w:val="Heading8"/>
    <w:rsid w:val="00F27365"/>
    <w:rPr>
      <w:rFonts w:ascii="Arial" w:hAnsi="Arial" w:cs="Arial"/>
      <w:i/>
      <w:iCs/>
      <w:lang w:eastAsia="en-US"/>
    </w:rPr>
  </w:style>
  <w:style w:type="character" w:customStyle="1" w:styleId="Heading9Char">
    <w:name w:val="Heading 9 Char"/>
    <w:basedOn w:val="DefaultParagraphFont"/>
    <w:link w:val="Heading9"/>
    <w:rsid w:val="00F27365"/>
    <w:rPr>
      <w:rFonts w:ascii="Arial" w:hAnsi="Arial" w:cs="Arial"/>
      <w:b/>
      <w:bCs/>
      <w:i/>
      <w:iCs/>
      <w:sz w:val="18"/>
      <w:szCs w:val="18"/>
      <w:lang w:eastAsia="en-US"/>
    </w:rPr>
  </w:style>
  <w:style w:type="character" w:customStyle="1" w:styleId="BodyTextIndentChar">
    <w:name w:val="Body Text Indent Char"/>
    <w:basedOn w:val="DefaultParagraphFont"/>
    <w:link w:val="BodyTextIndent"/>
    <w:rsid w:val="00F27365"/>
    <w:rPr>
      <w:rFonts w:ascii="Arial" w:hAnsi="Arial" w:cs="Arial"/>
      <w:sz w:val="22"/>
      <w:szCs w:val="22"/>
      <w:lang w:eastAsia="en-US"/>
    </w:rPr>
  </w:style>
  <w:style w:type="character" w:customStyle="1" w:styleId="BodyTextFirstIndentChar">
    <w:name w:val="Body Text First Indent Char"/>
    <w:basedOn w:val="BodyTextChar"/>
    <w:link w:val="BodyTextFirstIndent"/>
    <w:rsid w:val="00F27365"/>
    <w:rPr>
      <w:rFonts w:ascii="Times" w:hAnsi="Times" w:cs="Times"/>
      <w:sz w:val="24"/>
      <w:szCs w:val="24"/>
      <w:lang w:val="x-none" w:eastAsia="x-none"/>
    </w:rPr>
  </w:style>
  <w:style w:type="character" w:customStyle="1" w:styleId="BodyTextFirstIndent2Char">
    <w:name w:val="Body Text First Indent 2 Char"/>
    <w:basedOn w:val="BodyTextIndentChar"/>
    <w:link w:val="BodyTextFirstIndent2"/>
    <w:rsid w:val="00F27365"/>
    <w:rPr>
      <w:rFonts w:ascii="Times" w:hAnsi="Times" w:cs="Times"/>
      <w:sz w:val="24"/>
      <w:szCs w:val="24"/>
      <w:lang w:eastAsia="en-US"/>
    </w:rPr>
  </w:style>
  <w:style w:type="character" w:customStyle="1" w:styleId="BodyTextIndent2Char">
    <w:name w:val="Body Text Indent 2 Char"/>
    <w:basedOn w:val="DefaultParagraphFont"/>
    <w:link w:val="BodyTextIndent2"/>
    <w:rsid w:val="00F27365"/>
    <w:rPr>
      <w:rFonts w:ascii="Times" w:hAnsi="Times" w:cs="Times"/>
      <w:sz w:val="24"/>
      <w:szCs w:val="24"/>
      <w:lang w:eastAsia="en-US"/>
    </w:rPr>
  </w:style>
  <w:style w:type="character" w:customStyle="1" w:styleId="ClosingChar">
    <w:name w:val="Closing Char"/>
    <w:basedOn w:val="DefaultParagraphFont"/>
    <w:link w:val="Closing"/>
    <w:rsid w:val="00F27365"/>
    <w:rPr>
      <w:rFonts w:ascii="Times" w:hAnsi="Times" w:cs="Times"/>
      <w:sz w:val="24"/>
      <w:szCs w:val="24"/>
      <w:lang w:eastAsia="en-US"/>
    </w:rPr>
  </w:style>
  <w:style w:type="character" w:customStyle="1" w:styleId="DateChar">
    <w:name w:val="Date Char"/>
    <w:basedOn w:val="DefaultParagraphFont"/>
    <w:link w:val="Date"/>
    <w:rsid w:val="00F27365"/>
    <w:rPr>
      <w:rFonts w:ascii="Times" w:hAnsi="Times" w:cs="Times"/>
      <w:sz w:val="24"/>
      <w:szCs w:val="24"/>
      <w:lang w:eastAsia="en-US"/>
    </w:rPr>
  </w:style>
  <w:style w:type="character" w:customStyle="1" w:styleId="DocumentMapChar">
    <w:name w:val="Document Map Char"/>
    <w:basedOn w:val="DefaultParagraphFont"/>
    <w:link w:val="DocumentMap"/>
    <w:semiHidden/>
    <w:rsid w:val="00F27365"/>
    <w:rPr>
      <w:rFonts w:ascii="Tahoma" w:hAnsi="Tahoma" w:cs="Tahoma"/>
      <w:sz w:val="24"/>
      <w:szCs w:val="24"/>
      <w:shd w:val="clear" w:color="auto" w:fill="000080"/>
      <w:lang w:eastAsia="en-US"/>
    </w:rPr>
  </w:style>
  <w:style w:type="character" w:customStyle="1" w:styleId="EndnoteTextChar">
    <w:name w:val="Endnote Text Char"/>
    <w:basedOn w:val="DefaultParagraphFont"/>
    <w:link w:val="EndnoteText"/>
    <w:semiHidden/>
    <w:rsid w:val="00F27365"/>
    <w:rPr>
      <w:rFonts w:ascii="Times" w:hAnsi="Times" w:cs="Times"/>
      <w:lang w:eastAsia="en-US"/>
    </w:rPr>
  </w:style>
  <w:style w:type="character" w:customStyle="1" w:styleId="FootnoteTextChar">
    <w:name w:val="Footnote Text Char"/>
    <w:basedOn w:val="DefaultParagraphFont"/>
    <w:link w:val="FootnoteText"/>
    <w:semiHidden/>
    <w:rsid w:val="00F27365"/>
    <w:rPr>
      <w:rFonts w:ascii="Times" w:hAnsi="Times" w:cs="Times"/>
      <w:lang w:eastAsia="en-US"/>
    </w:rPr>
  </w:style>
  <w:style w:type="character" w:customStyle="1" w:styleId="MacroTextChar">
    <w:name w:val="Macro Text Char"/>
    <w:basedOn w:val="DefaultParagraphFont"/>
    <w:link w:val="MacroText"/>
    <w:semiHidden/>
    <w:rsid w:val="00F27365"/>
    <w:rPr>
      <w:rFonts w:ascii="Courier New" w:hAnsi="Courier New" w:cs="Courier New"/>
      <w:lang w:eastAsia="en-US"/>
    </w:rPr>
  </w:style>
  <w:style w:type="character" w:customStyle="1" w:styleId="MessageHeaderChar">
    <w:name w:val="Message Header Char"/>
    <w:basedOn w:val="DefaultParagraphFont"/>
    <w:link w:val="MessageHeader"/>
    <w:rsid w:val="00F27365"/>
    <w:rPr>
      <w:rFonts w:ascii="Arial" w:hAnsi="Arial" w:cs="Arial"/>
      <w:sz w:val="24"/>
      <w:szCs w:val="24"/>
      <w:shd w:val="pct20" w:color="auto" w:fill="auto"/>
      <w:lang w:eastAsia="en-US"/>
    </w:rPr>
  </w:style>
  <w:style w:type="character" w:customStyle="1" w:styleId="NoteHeadingChar">
    <w:name w:val="Note Heading Char"/>
    <w:basedOn w:val="DefaultParagraphFont"/>
    <w:link w:val="NoteHeading"/>
    <w:rsid w:val="00F27365"/>
    <w:rPr>
      <w:rFonts w:ascii="Times" w:hAnsi="Times" w:cs="Times"/>
      <w:sz w:val="24"/>
      <w:szCs w:val="24"/>
      <w:lang w:eastAsia="en-US"/>
    </w:rPr>
  </w:style>
  <w:style w:type="character" w:customStyle="1" w:styleId="SalutationChar">
    <w:name w:val="Salutation Char"/>
    <w:basedOn w:val="DefaultParagraphFont"/>
    <w:link w:val="Salutation"/>
    <w:rsid w:val="00F27365"/>
    <w:rPr>
      <w:rFonts w:ascii="Times" w:hAnsi="Times" w:cs="Times"/>
      <w:sz w:val="24"/>
      <w:szCs w:val="24"/>
      <w:lang w:eastAsia="en-US"/>
    </w:rPr>
  </w:style>
  <w:style w:type="character" w:customStyle="1" w:styleId="SignatureChar">
    <w:name w:val="Signature Char"/>
    <w:basedOn w:val="DefaultParagraphFont"/>
    <w:link w:val="Signature"/>
    <w:rsid w:val="00F27365"/>
    <w:rPr>
      <w:rFonts w:ascii="Times" w:hAnsi="Times" w:cs="Times"/>
      <w:sz w:val="24"/>
      <w:szCs w:val="24"/>
      <w:lang w:eastAsia="en-US"/>
    </w:rPr>
  </w:style>
  <w:style w:type="character" w:customStyle="1" w:styleId="SubtitleChar">
    <w:name w:val="Subtitle Char"/>
    <w:basedOn w:val="DefaultParagraphFont"/>
    <w:link w:val="Subtitle"/>
    <w:rsid w:val="00F27365"/>
    <w:rPr>
      <w:rFonts w:ascii="Arial" w:hAnsi="Arial" w:cs="Arial"/>
      <w:sz w:val="24"/>
      <w:szCs w:val="24"/>
      <w:lang w:eastAsia="en-US"/>
    </w:rPr>
  </w:style>
  <w:style w:type="character" w:customStyle="1" w:styleId="E-mailSignatureChar">
    <w:name w:val="E-mail Signature Char"/>
    <w:basedOn w:val="DefaultParagraphFont"/>
    <w:link w:val="E-mailSignature"/>
    <w:rsid w:val="00F27365"/>
    <w:rPr>
      <w:rFonts w:ascii="Times" w:hAnsi="Times" w:cs="Times"/>
      <w:sz w:val="24"/>
      <w:szCs w:val="24"/>
      <w:lang w:eastAsia="en-US"/>
    </w:rPr>
  </w:style>
  <w:style w:type="character" w:customStyle="1" w:styleId="HTMLPreformattedChar">
    <w:name w:val="HTML Preformatted Char"/>
    <w:basedOn w:val="DefaultParagraphFont"/>
    <w:link w:val="HTMLPreformatted"/>
    <w:rsid w:val="00F27365"/>
    <w:rPr>
      <w:rFonts w:ascii="Courier New" w:hAnsi="Courier New" w:cs="Courier New"/>
      <w:lang w:eastAsia="en-US"/>
    </w:rPr>
  </w:style>
  <w:style w:type="paragraph" w:customStyle="1" w:styleId="OSUNormal">
    <w:name w:val="OSU_Normal"/>
    <w:basedOn w:val="Normal"/>
    <w:qFormat/>
    <w:rsid w:val="00F27365"/>
    <w:pPr>
      <w:widowControl w:val="0"/>
      <w:spacing w:after="40"/>
      <w:jc w:val="both"/>
    </w:pPr>
    <w:rPr>
      <w:rFonts w:ascii="Arial" w:hAnsi="Arial" w:cs="Arial"/>
      <w:sz w:val="22"/>
      <w:szCs w:val="22"/>
    </w:rPr>
  </w:style>
  <w:style w:type="paragraph" w:customStyle="1" w:styleId="OSUIHeading">
    <w:name w:val="OSU_I_Heading"/>
    <w:basedOn w:val="Normal"/>
    <w:next w:val="OSUNormal"/>
    <w:autoRedefine/>
    <w:qFormat/>
    <w:rsid w:val="00F27365"/>
    <w:pPr>
      <w:keepNext/>
      <w:keepLines/>
      <w:spacing w:before="100" w:beforeAutospacing="1" w:after="40"/>
      <w:jc w:val="both"/>
    </w:pPr>
    <w:rPr>
      <w:rFonts w:ascii="Arial" w:hAnsi="Arial" w:cs="Arial"/>
      <w:b/>
      <w:bCs/>
      <w:kern w:val="36"/>
    </w:rPr>
  </w:style>
  <w:style w:type="paragraph" w:customStyle="1" w:styleId="NameofApplicant">
    <w:name w:val="Name of Applicant"/>
    <w:basedOn w:val="Normal"/>
    <w:rsid w:val="00F27365"/>
    <w:pPr>
      <w:jc w:val="both"/>
    </w:pPr>
    <w:rPr>
      <w:rFonts w:ascii="Arial" w:hAnsi="Arial"/>
      <w:sz w:val="16"/>
      <w:szCs w:val="20"/>
    </w:rPr>
  </w:style>
  <w:style w:type="table" w:customStyle="1" w:styleId="LightGrid1">
    <w:name w:val="Light Grid1"/>
    <w:basedOn w:val="TableNormal"/>
    <w:next w:val="LightGrid"/>
    <w:rsid w:val="00F27365"/>
    <w:rPr>
      <w:sz w:val="24"/>
      <w:szCs w:val="24"/>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
    <w:name w:val="Light Grid"/>
    <w:basedOn w:val="TableNormal"/>
    <w:uiPriority w:val="62"/>
    <w:semiHidden/>
    <w:unhideWhenUsed/>
    <w:rsid w:val="00F2736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A0">
    <w:name w:val="A0"/>
    <w:uiPriority w:val="99"/>
    <w:rsid w:val="00F27365"/>
    <w:rPr>
      <w:rFonts w:cs="Calibri"/>
      <w:color w:val="2D2B72"/>
      <w:sz w:val="22"/>
      <w:szCs w:val="22"/>
    </w:rPr>
  </w:style>
  <w:style w:type="character" w:customStyle="1" w:styleId="eop">
    <w:name w:val="eop"/>
    <w:basedOn w:val="DefaultParagraphFont"/>
    <w:rsid w:val="00F27365"/>
  </w:style>
  <w:style w:type="character" w:customStyle="1" w:styleId="normaltextrun">
    <w:name w:val="normaltextrun"/>
    <w:basedOn w:val="DefaultParagraphFont"/>
    <w:rsid w:val="00F27365"/>
  </w:style>
  <w:style w:type="table" w:styleId="TableGrid">
    <w:name w:val="Table Grid"/>
    <w:basedOn w:val="TableNormal"/>
    <w:uiPriority w:val="59"/>
    <w:rsid w:val="00F273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listparagraph">
    <w:name w:val="x_xmsolistparagraph"/>
    <w:basedOn w:val="Normal"/>
    <w:rsid w:val="00F27365"/>
    <w:pPr>
      <w:autoSpaceDE/>
      <w:autoSpaceDN/>
      <w:spacing w:before="100" w:beforeAutospacing="1" w:after="100" w:afterAutospacing="1"/>
      <w:jc w:val="both"/>
    </w:pPr>
    <w:rPr>
      <w:rFonts w:ascii="Times New Roman" w:hAnsi="Times New Roman"/>
    </w:rPr>
  </w:style>
  <w:style w:type="paragraph" w:customStyle="1" w:styleId="xxmsonormal">
    <w:name w:val="x_xmsonormal"/>
    <w:basedOn w:val="Normal"/>
    <w:rsid w:val="00F27365"/>
    <w:pPr>
      <w:autoSpaceDE/>
      <w:autoSpaceDN/>
      <w:spacing w:before="100" w:beforeAutospacing="1" w:after="100" w:afterAutospacing="1"/>
      <w:jc w:val="both"/>
    </w:pPr>
    <w:rPr>
      <w:rFonts w:ascii="Times New Roman" w:hAnsi="Times New Roman"/>
    </w:rPr>
  </w:style>
  <w:style w:type="character" w:customStyle="1" w:styleId="FiguresandtablesChar">
    <w:name w:val="Figures and tables Char"/>
    <w:basedOn w:val="DefaultParagraphFont"/>
    <w:link w:val="Figuresandtables"/>
    <w:locked/>
    <w:rsid w:val="00F74E70"/>
    <w:rPr>
      <w:rFonts w:ascii="Arial" w:hAnsi="Arial" w:cs="Times"/>
      <w:b/>
      <w:sz w:val="18"/>
    </w:rPr>
  </w:style>
  <w:style w:type="paragraph" w:customStyle="1" w:styleId="Figuresandtables">
    <w:name w:val="Figures and tables"/>
    <w:basedOn w:val="Normal"/>
    <w:link w:val="FiguresandtablesChar"/>
    <w:qFormat/>
    <w:rsid w:val="00F74E70"/>
    <w:pPr>
      <w:spacing w:after="120"/>
      <w:jc w:val="both"/>
    </w:pPr>
    <w:rPr>
      <w:rFonts w:ascii="Arial" w:hAnsi="Arial" w:cs="Times"/>
      <w:b/>
      <w:sz w:val="18"/>
      <w:szCs w:val="20"/>
      <w:lang w:eastAsia="zh-CN"/>
    </w:rPr>
  </w:style>
  <w:style w:type="character" w:customStyle="1" w:styleId="NoSpacingChar">
    <w:name w:val="No Spacing Char"/>
    <w:basedOn w:val="DefaultParagraphFont"/>
    <w:link w:val="NoSpacing"/>
    <w:uiPriority w:val="1"/>
    <w:locked/>
    <w:rsid w:val="00B87C0D"/>
    <w:rPr>
      <w:rFonts w:ascii="Calibri" w:eastAsia="Calibri" w:hAnsi="Calibri"/>
      <w:sz w:val="22"/>
      <w:szCs w:val="22"/>
      <w:lang w:eastAsia="en-US"/>
    </w:rPr>
  </w:style>
  <w:style w:type="paragraph" w:customStyle="1" w:styleId="elementtoproof">
    <w:name w:val="elementtoproof"/>
    <w:basedOn w:val="Normal"/>
    <w:rsid w:val="00C61471"/>
    <w:pPr>
      <w:autoSpaceDE/>
      <w:autoSpaceDN/>
    </w:pPr>
    <w:rPr>
      <w:rFonts w:ascii="Aptos" w:eastAsiaTheme="minorHAnsi" w:hAnsi="Aptos" w:cs="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791031">
      <w:bodyDiv w:val="1"/>
      <w:marLeft w:val="0"/>
      <w:marRight w:val="0"/>
      <w:marTop w:val="0"/>
      <w:marBottom w:val="0"/>
      <w:divBdr>
        <w:top w:val="none" w:sz="0" w:space="0" w:color="auto"/>
        <w:left w:val="none" w:sz="0" w:space="0" w:color="auto"/>
        <w:bottom w:val="none" w:sz="0" w:space="0" w:color="auto"/>
        <w:right w:val="none" w:sz="0" w:space="0" w:color="auto"/>
      </w:divBdr>
      <w:divsChild>
        <w:div w:id="613632355">
          <w:marLeft w:val="0"/>
          <w:marRight w:val="0"/>
          <w:marTop w:val="0"/>
          <w:marBottom w:val="0"/>
          <w:divBdr>
            <w:top w:val="none" w:sz="0" w:space="0" w:color="auto"/>
            <w:left w:val="none" w:sz="0" w:space="0" w:color="auto"/>
            <w:bottom w:val="none" w:sz="0" w:space="0" w:color="auto"/>
            <w:right w:val="none" w:sz="0" w:space="0" w:color="auto"/>
          </w:divBdr>
          <w:divsChild>
            <w:div w:id="1483230137">
              <w:marLeft w:val="0"/>
              <w:marRight w:val="0"/>
              <w:marTop w:val="0"/>
              <w:marBottom w:val="0"/>
              <w:divBdr>
                <w:top w:val="none" w:sz="0" w:space="0" w:color="auto"/>
                <w:left w:val="none" w:sz="0" w:space="0" w:color="auto"/>
                <w:bottom w:val="none" w:sz="0" w:space="0" w:color="auto"/>
                <w:right w:val="none" w:sz="0" w:space="0" w:color="auto"/>
              </w:divBdr>
              <w:divsChild>
                <w:div w:id="776098801">
                  <w:marLeft w:val="0"/>
                  <w:marRight w:val="0"/>
                  <w:marTop w:val="0"/>
                  <w:marBottom w:val="0"/>
                  <w:divBdr>
                    <w:top w:val="none" w:sz="0" w:space="0" w:color="auto"/>
                    <w:left w:val="none" w:sz="0" w:space="0" w:color="auto"/>
                    <w:bottom w:val="none" w:sz="0" w:space="0" w:color="auto"/>
                    <w:right w:val="none" w:sz="0" w:space="0" w:color="auto"/>
                  </w:divBdr>
                  <w:divsChild>
                    <w:div w:id="263002602">
                      <w:marLeft w:val="0"/>
                      <w:marRight w:val="0"/>
                      <w:marTop w:val="0"/>
                      <w:marBottom w:val="0"/>
                      <w:divBdr>
                        <w:top w:val="none" w:sz="0" w:space="0" w:color="auto"/>
                        <w:left w:val="none" w:sz="0" w:space="0" w:color="auto"/>
                        <w:bottom w:val="none" w:sz="0" w:space="0" w:color="auto"/>
                        <w:right w:val="none" w:sz="0" w:space="0" w:color="auto"/>
                      </w:divBdr>
                      <w:divsChild>
                        <w:div w:id="770049662">
                          <w:marLeft w:val="0"/>
                          <w:marRight w:val="0"/>
                          <w:marTop w:val="0"/>
                          <w:marBottom w:val="0"/>
                          <w:divBdr>
                            <w:top w:val="none" w:sz="0" w:space="0" w:color="auto"/>
                            <w:left w:val="none" w:sz="0" w:space="0" w:color="auto"/>
                            <w:bottom w:val="none" w:sz="0" w:space="0" w:color="auto"/>
                            <w:right w:val="none" w:sz="0" w:space="0" w:color="auto"/>
                          </w:divBdr>
                          <w:divsChild>
                            <w:div w:id="112293060">
                              <w:marLeft w:val="0"/>
                              <w:marRight w:val="0"/>
                              <w:marTop w:val="0"/>
                              <w:marBottom w:val="0"/>
                              <w:divBdr>
                                <w:top w:val="none" w:sz="0" w:space="0" w:color="auto"/>
                                <w:left w:val="none" w:sz="0" w:space="0" w:color="auto"/>
                                <w:bottom w:val="none" w:sz="0" w:space="0" w:color="auto"/>
                                <w:right w:val="none" w:sz="0" w:space="0" w:color="auto"/>
                              </w:divBdr>
                              <w:divsChild>
                                <w:div w:id="116119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330665">
      <w:bodyDiv w:val="1"/>
      <w:marLeft w:val="0"/>
      <w:marRight w:val="0"/>
      <w:marTop w:val="0"/>
      <w:marBottom w:val="0"/>
      <w:divBdr>
        <w:top w:val="none" w:sz="0" w:space="0" w:color="auto"/>
        <w:left w:val="none" w:sz="0" w:space="0" w:color="auto"/>
        <w:bottom w:val="none" w:sz="0" w:space="0" w:color="auto"/>
        <w:right w:val="none" w:sz="0" w:space="0" w:color="auto"/>
      </w:divBdr>
      <w:divsChild>
        <w:div w:id="511990203">
          <w:marLeft w:val="0"/>
          <w:marRight w:val="0"/>
          <w:marTop w:val="0"/>
          <w:marBottom w:val="0"/>
          <w:divBdr>
            <w:top w:val="none" w:sz="0" w:space="0" w:color="auto"/>
            <w:left w:val="none" w:sz="0" w:space="0" w:color="auto"/>
            <w:bottom w:val="none" w:sz="0" w:space="0" w:color="auto"/>
            <w:right w:val="none" w:sz="0" w:space="0" w:color="auto"/>
          </w:divBdr>
          <w:divsChild>
            <w:div w:id="1711998950">
              <w:marLeft w:val="0"/>
              <w:marRight w:val="0"/>
              <w:marTop w:val="0"/>
              <w:marBottom w:val="0"/>
              <w:divBdr>
                <w:top w:val="none" w:sz="0" w:space="0" w:color="auto"/>
                <w:left w:val="none" w:sz="0" w:space="0" w:color="auto"/>
                <w:bottom w:val="none" w:sz="0" w:space="0" w:color="auto"/>
                <w:right w:val="none" w:sz="0" w:space="0" w:color="auto"/>
              </w:divBdr>
              <w:divsChild>
                <w:div w:id="1081486345">
                  <w:marLeft w:val="0"/>
                  <w:marRight w:val="0"/>
                  <w:marTop w:val="0"/>
                  <w:marBottom w:val="0"/>
                  <w:divBdr>
                    <w:top w:val="none" w:sz="0" w:space="0" w:color="auto"/>
                    <w:left w:val="none" w:sz="0" w:space="0" w:color="auto"/>
                    <w:bottom w:val="none" w:sz="0" w:space="0" w:color="auto"/>
                    <w:right w:val="none" w:sz="0" w:space="0" w:color="auto"/>
                  </w:divBdr>
                  <w:divsChild>
                    <w:div w:id="1385593603">
                      <w:marLeft w:val="0"/>
                      <w:marRight w:val="0"/>
                      <w:marTop w:val="0"/>
                      <w:marBottom w:val="0"/>
                      <w:divBdr>
                        <w:top w:val="none" w:sz="0" w:space="0" w:color="auto"/>
                        <w:left w:val="none" w:sz="0" w:space="0" w:color="auto"/>
                        <w:bottom w:val="none" w:sz="0" w:space="0" w:color="auto"/>
                        <w:right w:val="none" w:sz="0" w:space="0" w:color="auto"/>
                      </w:divBdr>
                      <w:divsChild>
                        <w:div w:id="748424388">
                          <w:marLeft w:val="0"/>
                          <w:marRight w:val="0"/>
                          <w:marTop w:val="0"/>
                          <w:marBottom w:val="0"/>
                          <w:divBdr>
                            <w:top w:val="none" w:sz="0" w:space="0" w:color="auto"/>
                            <w:left w:val="none" w:sz="0" w:space="0" w:color="auto"/>
                            <w:bottom w:val="none" w:sz="0" w:space="0" w:color="auto"/>
                            <w:right w:val="none" w:sz="0" w:space="0" w:color="auto"/>
                          </w:divBdr>
                          <w:divsChild>
                            <w:div w:id="1917133033">
                              <w:marLeft w:val="0"/>
                              <w:marRight w:val="0"/>
                              <w:marTop w:val="0"/>
                              <w:marBottom w:val="0"/>
                              <w:divBdr>
                                <w:top w:val="none" w:sz="0" w:space="0" w:color="auto"/>
                                <w:left w:val="none" w:sz="0" w:space="0" w:color="auto"/>
                                <w:bottom w:val="none" w:sz="0" w:space="0" w:color="auto"/>
                                <w:right w:val="none" w:sz="0" w:space="0" w:color="auto"/>
                              </w:divBdr>
                              <w:divsChild>
                                <w:div w:id="25205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028248">
      <w:bodyDiv w:val="1"/>
      <w:marLeft w:val="0"/>
      <w:marRight w:val="0"/>
      <w:marTop w:val="0"/>
      <w:marBottom w:val="0"/>
      <w:divBdr>
        <w:top w:val="none" w:sz="0" w:space="0" w:color="auto"/>
        <w:left w:val="none" w:sz="0" w:space="0" w:color="auto"/>
        <w:bottom w:val="none" w:sz="0" w:space="0" w:color="auto"/>
        <w:right w:val="none" w:sz="0" w:space="0" w:color="auto"/>
      </w:divBdr>
    </w:div>
    <w:div w:id="51589284">
      <w:bodyDiv w:val="1"/>
      <w:marLeft w:val="0"/>
      <w:marRight w:val="0"/>
      <w:marTop w:val="0"/>
      <w:marBottom w:val="0"/>
      <w:divBdr>
        <w:top w:val="none" w:sz="0" w:space="0" w:color="auto"/>
        <w:left w:val="none" w:sz="0" w:space="0" w:color="auto"/>
        <w:bottom w:val="none" w:sz="0" w:space="0" w:color="auto"/>
        <w:right w:val="none" w:sz="0" w:space="0" w:color="auto"/>
      </w:divBdr>
      <w:divsChild>
        <w:div w:id="971834548">
          <w:marLeft w:val="0"/>
          <w:marRight w:val="0"/>
          <w:marTop w:val="0"/>
          <w:marBottom w:val="0"/>
          <w:divBdr>
            <w:top w:val="none" w:sz="0" w:space="0" w:color="auto"/>
            <w:left w:val="none" w:sz="0" w:space="0" w:color="auto"/>
            <w:bottom w:val="none" w:sz="0" w:space="0" w:color="auto"/>
            <w:right w:val="none" w:sz="0" w:space="0" w:color="auto"/>
          </w:divBdr>
          <w:divsChild>
            <w:div w:id="1765959075">
              <w:marLeft w:val="0"/>
              <w:marRight w:val="0"/>
              <w:marTop w:val="0"/>
              <w:marBottom w:val="0"/>
              <w:divBdr>
                <w:top w:val="none" w:sz="0" w:space="0" w:color="auto"/>
                <w:left w:val="none" w:sz="0" w:space="0" w:color="auto"/>
                <w:bottom w:val="none" w:sz="0" w:space="0" w:color="auto"/>
                <w:right w:val="none" w:sz="0" w:space="0" w:color="auto"/>
              </w:divBdr>
              <w:divsChild>
                <w:div w:id="132873154">
                  <w:marLeft w:val="0"/>
                  <w:marRight w:val="0"/>
                  <w:marTop w:val="0"/>
                  <w:marBottom w:val="0"/>
                  <w:divBdr>
                    <w:top w:val="none" w:sz="0" w:space="0" w:color="auto"/>
                    <w:left w:val="none" w:sz="0" w:space="0" w:color="auto"/>
                    <w:bottom w:val="none" w:sz="0" w:space="0" w:color="auto"/>
                    <w:right w:val="none" w:sz="0" w:space="0" w:color="auto"/>
                  </w:divBdr>
                  <w:divsChild>
                    <w:div w:id="1615476570">
                      <w:marLeft w:val="0"/>
                      <w:marRight w:val="0"/>
                      <w:marTop w:val="0"/>
                      <w:marBottom w:val="0"/>
                      <w:divBdr>
                        <w:top w:val="none" w:sz="0" w:space="0" w:color="auto"/>
                        <w:left w:val="none" w:sz="0" w:space="0" w:color="auto"/>
                        <w:bottom w:val="none" w:sz="0" w:space="0" w:color="auto"/>
                        <w:right w:val="none" w:sz="0" w:space="0" w:color="auto"/>
                      </w:divBdr>
                      <w:divsChild>
                        <w:div w:id="1569877212">
                          <w:marLeft w:val="0"/>
                          <w:marRight w:val="0"/>
                          <w:marTop w:val="0"/>
                          <w:marBottom w:val="0"/>
                          <w:divBdr>
                            <w:top w:val="none" w:sz="0" w:space="0" w:color="auto"/>
                            <w:left w:val="none" w:sz="0" w:space="0" w:color="auto"/>
                            <w:bottom w:val="none" w:sz="0" w:space="0" w:color="auto"/>
                            <w:right w:val="none" w:sz="0" w:space="0" w:color="auto"/>
                          </w:divBdr>
                          <w:divsChild>
                            <w:div w:id="469593705">
                              <w:marLeft w:val="0"/>
                              <w:marRight w:val="0"/>
                              <w:marTop w:val="0"/>
                              <w:marBottom w:val="0"/>
                              <w:divBdr>
                                <w:top w:val="none" w:sz="0" w:space="0" w:color="auto"/>
                                <w:left w:val="none" w:sz="0" w:space="0" w:color="auto"/>
                                <w:bottom w:val="none" w:sz="0" w:space="0" w:color="auto"/>
                                <w:right w:val="none" w:sz="0" w:space="0" w:color="auto"/>
                              </w:divBdr>
                              <w:divsChild>
                                <w:div w:id="26589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518192">
      <w:bodyDiv w:val="1"/>
      <w:marLeft w:val="0"/>
      <w:marRight w:val="0"/>
      <w:marTop w:val="0"/>
      <w:marBottom w:val="0"/>
      <w:divBdr>
        <w:top w:val="none" w:sz="0" w:space="0" w:color="auto"/>
        <w:left w:val="none" w:sz="0" w:space="0" w:color="auto"/>
        <w:bottom w:val="none" w:sz="0" w:space="0" w:color="auto"/>
        <w:right w:val="none" w:sz="0" w:space="0" w:color="auto"/>
      </w:divBdr>
    </w:div>
    <w:div w:id="200896836">
      <w:bodyDiv w:val="1"/>
      <w:marLeft w:val="0"/>
      <w:marRight w:val="0"/>
      <w:marTop w:val="0"/>
      <w:marBottom w:val="0"/>
      <w:divBdr>
        <w:top w:val="none" w:sz="0" w:space="0" w:color="auto"/>
        <w:left w:val="none" w:sz="0" w:space="0" w:color="auto"/>
        <w:bottom w:val="none" w:sz="0" w:space="0" w:color="auto"/>
        <w:right w:val="none" w:sz="0" w:space="0" w:color="auto"/>
      </w:divBdr>
    </w:div>
    <w:div w:id="239947482">
      <w:bodyDiv w:val="1"/>
      <w:marLeft w:val="0"/>
      <w:marRight w:val="0"/>
      <w:marTop w:val="0"/>
      <w:marBottom w:val="0"/>
      <w:divBdr>
        <w:top w:val="none" w:sz="0" w:space="0" w:color="auto"/>
        <w:left w:val="none" w:sz="0" w:space="0" w:color="auto"/>
        <w:bottom w:val="none" w:sz="0" w:space="0" w:color="auto"/>
        <w:right w:val="none" w:sz="0" w:space="0" w:color="auto"/>
      </w:divBdr>
      <w:divsChild>
        <w:div w:id="210919934">
          <w:marLeft w:val="0"/>
          <w:marRight w:val="0"/>
          <w:marTop w:val="0"/>
          <w:marBottom w:val="0"/>
          <w:divBdr>
            <w:top w:val="none" w:sz="0" w:space="0" w:color="auto"/>
            <w:left w:val="none" w:sz="0" w:space="0" w:color="auto"/>
            <w:bottom w:val="none" w:sz="0" w:space="0" w:color="auto"/>
            <w:right w:val="none" w:sz="0" w:space="0" w:color="auto"/>
          </w:divBdr>
        </w:div>
        <w:div w:id="1787045834">
          <w:marLeft w:val="0"/>
          <w:marRight w:val="0"/>
          <w:marTop w:val="0"/>
          <w:marBottom w:val="0"/>
          <w:divBdr>
            <w:top w:val="none" w:sz="0" w:space="0" w:color="auto"/>
            <w:left w:val="none" w:sz="0" w:space="0" w:color="auto"/>
            <w:bottom w:val="none" w:sz="0" w:space="0" w:color="auto"/>
            <w:right w:val="none" w:sz="0" w:space="0" w:color="auto"/>
          </w:divBdr>
        </w:div>
      </w:divsChild>
    </w:div>
    <w:div w:id="252013791">
      <w:bodyDiv w:val="1"/>
      <w:marLeft w:val="0"/>
      <w:marRight w:val="0"/>
      <w:marTop w:val="0"/>
      <w:marBottom w:val="0"/>
      <w:divBdr>
        <w:top w:val="none" w:sz="0" w:space="0" w:color="auto"/>
        <w:left w:val="none" w:sz="0" w:space="0" w:color="auto"/>
        <w:bottom w:val="none" w:sz="0" w:space="0" w:color="auto"/>
        <w:right w:val="none" w:sz="0" w:space="0" w:color="auto"/>
      </w:divBdr>
      <w:divsChild>
        <w:div w:id="1467580172">
          <w:marLeft w:val="0"/>
          <w:marRight w:val="0"/>
          <w:marTop w:val="0"/>
          <w:marBottom w:val="0"/>
          <w:divBdr>
            <w:top w:val="none" w:sz="0" w:space="0" w:color="auto"/>
            <w:left w:val="none" w:sz="0" w:space="0" w:color="auto"/>
            <w:bottom w:val="none" w:sz="0" w:space="0" w:color="auto"/>
            <w:right w:val="none" w:sz="0" w:space="0" w:color="auto"/>
          </w:divBdr>
        </w:div>
        <w:div w:id="1804303544">
          <w:marLeft w:val="0"/>
          <w:marRight w:val="0"/>
          <w:marTop w:val="0"/>
          <w:marBottom w:val="0"/>
          <w:divBdr>
            <w:top w:val="none" w:sz="0" w:space="0" w:color="auto"/>
            <w:left w:val="none" w:sz="0" w:space="0" w:color="auto"/>
            <w:bottom w:val="none" w:sz="0" w:space="0" w:color="auto"/>
            <w:right w:val="none" w:sz="0" w:space="0" w:color="auto"/>
          </w:divBdr>
        </w:div>
      </w:divsChild>
    </w:div>
    <w:div w:id="258685488">
      <w:bodyDiv w:val="1"/>
      <w:marLeft w:val="0"/>
      <w:marRight w:val="0"/>
      <w:marTop w:val="0"/>
      <w:marBottom w:val="0"/>
      <w:divBdr>
        <w:top w:val="none" w:sz="0" w:space="0" w:color="auto"/>
        <w:left w:val="none" w:sz="0" w:space="0" w:color="auto"/>
        <w:bottom w:val="none" w:sz="0" w:space="0" w:color="auto"/>
        <w:right w:val="none" w:sz="0" w:space="0" w:color="auto"/>
      </w:divBdr>
    </w:div>
    <w:div w:id="268313890">
      <w:bodyDiv w:val="1"/>
      <w:marLeft w:val="0"/>
      <w:marRight w:val="0"/>
      <w:marTop w:val="0"/>
      <w:marBottom w:val="0"/>
      <w:divBdr>
        <w:top w:val="none" w:sz="0" w:space="0" w:color="auto"/>
        <w:left w:val="none" w:sz="0" w:space="0" w:color="auto"/>
        <w:bottom w:val="none" w:sz="0" w:space="0" w:color="auto"/>
        <w:right w:val="none" w:sz="0" w:space="0" w:color="auto"/>
      </w:divBdr>
      <w:divsChild>
        <w:div w:id="38407686">
          <w:marLeft w:val="0"/>
          <w:marRight w:val="0"/>
          <w:marTop w:val="0"/>
          <w:marBottom w:val="0"/>
          <w:divBdr>
            <w:top w:val="none" w:sz="0" w:space="0" w:color="auto"/>
            <w:left w:val="none" w:sz="0" w:space="0" w:color="auto"/>
            <w:bottom w:val="none" w:sz="0" w:space="0" w:color="auto"/>
            <w:right w:val="none" w:sz="0" w:space="0" w:color="auto"/>
          </w:divBdr>
        </w:div>
        <w:div w:id="1019815445">
          <w:marLeft w:val="0"/>
          <w:marRight w:val="0"/>
          <w:marTop w:val="0"/>
          <w:marBottom w:val="0"/>
          <w:divBdr>
            <w:top w:val="none" w:sz="0" w:space="0" w:color="auto"/>
            <w:left w:val="none" w:sz="0" w:space="0" w:color="auto"/>
            <w:bottom w:val="none" w:sz="0" w:space="0" w:color="auto"/>
            <w:right w:val="none" w:sz="0" w:space="0" w:color="auto"/>
          </w:divBdr>
        </w:div>
        <w:div w:id="1088962613">
          <w:marLeft w:val="0"/>
          <w:marRight w:val="0"/>
          <w:marTop w:val="0"/>
          <w:marBottom w:val="0"/>
          <w:divBdr>
            <w:top w:val="none" w:sz="0" w:space="0" w:color="auto"/>
            <w:left w:val="none" w:sz="0" w:space="0" w:color="auto"/>
            <w:bottom w:val="none" w:sz="0" w:space="0" w:color="auto"/>
            <w:right w:val="none" w:sz="0" w:space="0" w:color="auto"/>
          </w:divBdr>
        </w:div>
      </w:divsChild>
    </w:div>
    <w:div w:id="286473919">
      <w:bodyDiv w:val="1"/>
      <w:marLeft w:val="0"/>
      <w:marRight w:val="0"/>
      <w:marTop w:val="0"/>
      <w:marBottom w:val="0"/>
      <w:divBdr>
        <w:top w:val="none" w:sz="0" w:space="0" w:color="auto"/>
        <w:left w:val="none" w:sz="0" w:space="0" w:color="auto"/>
        <w:bottom w:val="none" w:sz="0" w:space="0" w:color="auto"/>
        <w:right w:val="none" w:sz="0" w:space="0" w:color="auto"/>
      </w:divBdr>
    </w:div>
    <w:div w:id="359012493">
      <w:bodyDiv w:val="1"/>
      <w:marLeft w:val="0"/>
      <w:marRight w:val="0"/>
      <w:marTop w:val="0"/>
      <w:marBottom w:val="0"/>
      <w:divBdr>
        <w:top w:val="none" w:sz="0" w:space="0" w:color="auto"/>
        <w:left w:val="none" w:sz="0" w:space="0" w:color="auto"/>
        <w:bottom w:val="none" w:sz="0" w:space="0" w:color="auto"/>
        <w:right w:val="none" w:sz="0" w:space="0" w:color="auto"/>
      </w:divBdr>
    </w:div>
    <w:div w:id="377171841">
      <w:bodyDiv w:val="1"/>
      <w:marLeft w:val="0"/>
      <w:marRight w:val="0"/>
      <w:marTop w:val="0"/>
      <w:marBottom w:val="0"/>
      <w:divBdr>
        <w:top w:val="none" w:sz="0" w:space="0" w:color="auto"/>
        <w:left w:val="none" w:sz="0" w:space="0" w:color="auto"/>
        <w:bottom w:val="none" w:sz="0" w:space="0" w:color="auto"/>
        <w:right w:val="none" w:sz="0" w:space="0" w:color="auto"/>
      </w:divBdr>
      <w:divsChild>
        <w:div w:id="335887208">
          <w:marLeft w:val="0"/>
          <w:marRight w:val="0"/>
          <w:marTop w:val="0"/>
          <w:marBottom w:val="0"/>
          <w:divBdr>
            <w:top w:val="none" w:sz="0" w:space="0" w:color="auto"/>
            <w:left w:val="none" w:sz="0" w:space="0" w:color="auto"/>
            <w:bottom w:val="none" w:sz="0" w:space="0" w:color="auto"/>
            <w:right w:val="none" w:sz="0" w:space="0" w:color="auto"/>
          </w:divBdr>
        </w:div>
        <w:div w:id="982462560">
          <w:marLeft w:val="0"/>
          <w:marRight w:val="0"/>
          <w:marTop w:val="0"/>
          <w:marBottom w:val="0"/>
          <w:divBdr>
            <w:top w:val="none" w:sz="0" w:space="0" w:color="auto"/>
            <w:left w:val="none" w:sz="0" w:space="0" w:color="auto"/>
            <w:bottom w:val="none" w:sz="0" w:space="0" w:color="auto"/>
            <w:right w:val="none" w:sz="0" w:space="0" w:color="auto"/>
          </w:divBdr>
          <w:divsChild>
            <w:div w:id="940182991">
              <w:marLeft w:val="0"/>
              <w:marRight w:val="0"/>
              <w:marTop w:val="0"/>
              <w:marBottom w:val="0"/>
              <w:divBdr>
                <w:top w:val="none" w:sz="0" w:space="0" w:color="auto"/>
                <w:left w:val="none" w:sz="0" w:space="0" w:color="auto"/>
                <w:bottom w:val="none" w:sz="0" w:space="0" w:color="auto"/>
                <w:right w:val="none" w:sz="0" w:space="0" w:color="auto"/>
              </w:divBdr>
            </w:div>
          </w:divsChild>
        </w:div>
        <w:div w:id="1313558645">
          <w:marLeft w:val="0"/>
          <w:marRight w:val="0"/>
          <w:marTop w:val="0"/>
          <w:marBottom w:val="0"/>
          <w:divBdr>
            <w:top w:val="none" w:sz="0" w:space="0" w:color="auto"/>
            <w:left w:val="none" w:sz="0" w:space="0" w:color="auto"/>
            <w:bottom w:val="none" w:sz="0" w:space="0" w:color="auto"/>
            <w:right w:val="none" w:sz="0" w:space="0" w:color="auto"/>
          </w:divBdr>
        </w:div>
        <w:div w:id="1713186242">
          <w:marLeft w:val="0"/>
          <w:marRight w:val="0"/>
          <w:marTop w:val="0"/>
          <w:marBottom w:val="0"/>
          <w:divBdr>
            <w:top w:val="none" w:sz="0" w:space="0" w:color="auto"/>
            <w:left w:val="none" w:sz="0" w:space="0" w:color="auto"/>
            <w:bottom w:val="none" w:sz="0" w:space="0" w:color="auto"/>
            <w:right w:val="none" w:sz="0" w:space="0" w:color="auto"/>
          </w:divBdr>
        </w:div>
        <w:div w:id="2127500191">
          <w:marLeft w:val="0"/>
          <w:marRight w:val="0"/>
          <w:marTop w:val="0"/>
          <w:marBottom w:val="0"/>
          <w:divBdr>
            <w:top w:val="none" w:sz="0" w:space="0" w:color="auto"/>
            <w:left w:val="none" w:sz="0" w:space="0" w:color="auto"/>
            <w:bottom w:val="none" w:sz="0" w:space="0" w:color="auto"/>
            <w:right w:val="none" w:sz="0" w:space="0" w:color="auto"/>
          </w:divBdr>
        </w:div>
      </w:divsChild>
    </w:div>
    <w:div w:id="488908222">
      <w:bodyDiv w:val="1"/>
      <w:marLeft w:val="0"/>
      <w:marRight w:val="0"/>
      <w:marTop w:val="0"/>
      <w:marBottom w:val="0"/>
      <w:divBdr>
        <w:top w:val="none" w:sz="0" w:space="0" w:color="auto"/>
        <w:left w:val="none" w:sz="0" w:space="0" w:color="auto"/>
        <w:bottom w:val="none" w:sz="0" w:space="0" w:color="auto"/>
        <w:right w:val="none" w:sz="0" w:space="0" w:color="auto"/>
      </w:divBdr>
    </w:div>
    <w:div w:id="511530488">
      <w:bodyDiv w:val="1"/>
      <w:marLeft w:val="0"/>
      <w:marRight w:val="0"/>
      <w:marTop w:val="0"/>
      <w:marBottom w:val="0"/>
      <w:divBdr>
        <w:top w:val="none" w:sz="0" w:space="0" w:color="auto"/>
        <w:left w:val="none" w:sz="0" w:space="0" w:color="auto"/>
        <w:bottom w:val="none" w:sz="0" w:space="0" w:color="auto"/>
        <w:right w:val="none" w:sz="0" w:space="0" w:color="auto"/>
      </w:divBdr>
    </w:div>
    <w:div w:id="530921974">
      <w:bodyDiv w:val="1"/>
      <w:marLeft w:val="0"/>
      <w:marRight w:val="0"/>
      <w:marTop w:val="0"/>
      <w:marBottom w:val="0"/>
      <w:divBdr>
        <w:top w:val="none" w:sz="0" w:space="0" w:color="auto"/>
        <w:left w:val="none" w:sz="0" w:space="0" w:color="auto"/>
        <w:bottom w:val="none" w:sz="0" w:space="0" w:color="auto"/>
        <w:right w:val="none" w:sz="0" w:space="0" w:color="auto"/>
      </w:divBdr>
    </w:div>
    <w:div w:id="596409381">
      <w:bodyDiv w:val="1"/>
      <w:marLeft w:val="0"/>
      <w:marRight w:val="0"/>
      <w:marTop w:val="0"/>
      <w:marBottom w:val="0"/>
      <w:divBdr>
        <w:top w:val="none" w:sz="0" w:space="0" w:color="auto"/>
        <w:left w:val="none" w:sz="0" w:space="0" w:color="auto"/>
        <w:bottom w:val="none" w:sz="0" w:space="0" w:color="auto"/>
        <w:right w:val="none" w:sz="0" w:space="0" w:color="auto"/>
      </w:divBdr>
    </w:div>
    <w:div w:id="655106904">
      <w:bodyDiv w:val="1"/>
      <w:marLeft w:val="0"/>
      <w:marRight w:val="0"/>
      <w:marTop w:val="0"/>
      <w:marBottom w:val="0"/>
      <w:divBdr>
        <w:top w:val="none" w:sz="0" w:space="0" w:color="auto"/>
        <w:left w:val="none" w:sz="0" w:space="0" w:color="auto"/>
        <w:bottom w:val="none" w:sz="0" w:space="0" w:color="auto"/>
        <w:right w:val="none" w:sz="0" w:space="0" w:color="auto"/>
      </w:divBdr>
    </w:div>
    <w:div w:id="760107370">
      <w:bodyDiv w:val="1"/>
      <w:marLeft w:val="0"/>
      <w:marRight w:val="0"/>
      <w:marTop w:val="0"/>
      <w:marBottom w:val="0"/>
      <w:divBdr>
        <w:top w:val="none" w:sz="0" w:space="0" w:color="auto"/>
        <w:left w:val="none" w:sz="0" w:space="0" w:color="auto"/>
        <w:bottom w:val="none" w:sz="0" w:space="0" w:color="auto"/>
        <w:right w:val="none" w:sz="0" w:space="0" w:color="auto"/>
      </w:divBdr>
    </w:div>
    <w:div w:id="804128604">
      <w:bodyDiv w:val="1"/>
      <w:marLeft w:val="0"/>
      <w:marRight w:val="0"/>
      <w:marTop w:val="0"/>
      <w:marBottom w:val="0"/>
      <w:divBdr>
        <w:top w:val="none" w:sz="0" w:space="0" w:color="auto"/>
        <w:left w:val="none" w:sz="0" w:space="0" w:color="auto"/>
        <w:bottom w:val="none" w:sz="0" w:space="0" w:color="auto"/>
        <w:right w:val="none" w:sz="0" w:space="0" w:color="auto"/>
      </w:divBdr>
    </w:div>
    <w:div w:id="816456862">
      <w:bodyDiv w:val="1"/>
      <w:marLeft w:val="0"/>
      <w:marRight w:val="0"/>
      <w:marTop w:val="0"/>
      <w:marBottom w:val="0"/>
      <w:divBdr>
        <w:top w:val="none" w:sz="0" w:space="0" w:color="auto"/>
        <w:left w:val="none" w:sz="0" w:space="0" w:color="auto"/>
        <w:bottom w:val="none" w:sz="0" w:space="0" w:color="auto"/>
        <w:right w:val="none" w:sz="0" w:space="0" w:color="auto"/>
      </w:divBdr>
      <w:divsChild>
        <w:div w:id="1089430853">
          <w:marLeft w:val="0"/>
          <w:marRight w:val="0"/>
          <w:marTop w:val="0"/>
          <w:marBottom w:val="0"/>
          <w:divBdr>
            <w:top w:val="none" w:sz="0" w:space="0" w:color="auto"/>
            <w:left w:val="none" w:sz="0" w:space="0" w:color="auto"/>
            <w:bottom w:val="none" w:sz="0" w:space="0" w:color="auto"/>
            <w:right w:val="none" w:sz="0" w:space="0" w:color="auto"/>
          </w:divBdr>
          <w:divsChild>
            <w:div w:id="2038121718">
              <w:marLeft w:val="0"/>
              <w:marRight w:val="0"/>
              <w:marTop w:val="0"/>
              <w:marBottom w:val="0"/>
              <w:divBdr>
                <w:top w:val="none" w:sz="0" w:space="0" w:color="auto"/>
                <w:left w:val="none" w:sz="0" w:space="0" w:color="auto"/>
                <w:bottom w:val="none" w:sz="0" w:space="0" w:color="auto"/>
                <w:right w:val="none" w:sz="0" w:space="0" w:color="auto"/>
              </w:divBdr>
              <w:divsChild>
                <w:div w:id="1358695465">
                  <w:marLeft w:val="0"/>
                  <w:marRight w:val="0"/>
                  <w:marTop w:val="0"/>
                  <w:marBottom w:val="0"/>
                  <w:divBdr>
                    <w:top w:val="none" w:sz="0" w:space="0" w:color="auto"/>
                    <w:left w:val="none" w:sz="0" w:space="0" w:color="auto"/>
                    <w:bottom w:val="none" w:sz="0" w:space="0" w:color="auto"/>
                    <w:right w:val="none" w:sz="0" w:space="0" w:color="auto"/>
                  </w:divBdr>
                  <w:divsChild>
                    <w:div w:id="1276016957">
                      <w:marLeft w:val="0"/>
                      <w:marRight w:val="0"/>
                      <w:marTop w:val="0"/>
                      <w:marBottom w:val="0"/>
                      <w:divBdr>
                        <w:top w:val="none" w:sz="0" w:space="0" w:color="auto"/>
                        <w:left w:val="none" w:sz="0" w:space="0" w:color="auto"/>
                        <w:bottom w:val="none" w:sz="0" w:space="0" w:color="auto"/>
                        <w:right w:val="none" w:sz="0" w:space="0" w:color="auto"/>
                      </w:divBdr>
                      <w:divsChild>
                        <w:div w:id="728186709">
                          <w:marLeft w:val="0"/>
                          <w:marRight w:val="0"/>
                          <w:marTop w:val="0"/>
                          <w:marBottom w:val="0"/>
                          <w:divBdr>
                            <w:top w:val="none" w:sz="0" w:space="0" w:color="auto"/>
                            <w:left w:val="none" w:sz="0" w:space="0" w:color="auto"/>
                            <w:bottom w:val="none" w:sz="0" w:space="0" w:color="auto"/>
                            <w:right w:val="none" w:sz="0" w:space="0" w:color="auto"/>
                          </w:divBdr>
                          <w:divsChild>
                            <w:div w:id="1301811509">
                              <w:marLeft w:val="0"/>
                              <w:marRight w:val="0"/>
                              <w:marTop w:val="0"/>
                              <w:marBottom w:val="0"/>
                              <w:divBdr>
                                <w:top w:val="none" w:sz="0" w:space="0" w:color="auto"/>
                                <w:left w:val="none" w:sz="0" w:space="0" w:color="auto"/>
                                <w:bottom w:val="none" w:sz="0" w:space="0" w:color="auto"/>
                                <w:right w:val="none" w:sz="0" w:space="0" w:color="auto"/>
                              </w:divBdr>
                              <w:divsChild>
                                <w:div w:id="1224219638">
                                  <w:marLeft w:val="0"/>
                                  <w:marRight w:val="0"/>
                                  <w:marTop w:val="0"/>
                                  <w:marBottom w:val="0"/>
                                  <w:divBdr>
                                    <w:top w:val="none" w:sz="0" w:space="0" w:color="auto"/>
                                    <w:left w:val="none" w:sz="0" w:space="0" w:color="auto"/>
                                    <w:bottom w:val="none" w:sz="0" w:space="0" w:color="auto"/>
                                    <w:right w:val="none" w:sz="0" w:space="0" w:color="auto"/>
                                  </w:divBdr>
                                </w:div>
                                <w:div w:id="1938560088">
                                  <w:marLeft w:val="0"/>
                                  <w:marRight w:val="0"/>
                                  <w:marTop w:val="0"/>
                                  <w:marBottom w:val="0"/>
                                  <w:divBdr>
                                    <w:top w:val="none" w:sz="0" w:space="0" w:color="auto"/>
                                    <w:left w:val="none" w:sz="0" w:space="0" w:color="auto"/>
                                    <w:bottom w:val="none" w:sz="0" w:space="0" w:color="auto"/>
                                    <w:right w:val="none" w:sz="0" w:space="0" w:color="auto"/>
                                  </w:divBdr>
                                </w:div>
                                <w:div w:id="212946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125818">
      <w:bodyDiv w:val="1"/>
      <w:marLeft w:val="0"/>
      <w:marRight w:val="0"/>
      <w:marTop w:val="0"/>
      <w:marBottom w:val="0"/>
      <w:divBdr>
        <w:top w:val="none" w:sz="0" w:space="0" w:color="auto"/>
        <w:left w:val="none" w:sz="0" w:space="0" w:color="auto"/>
        <w:bottom w:val="none" w:sz="0" w:space="0" w:color="auto"/>
        <w:right w:val="none" w:sz="0" w:space="0" w:color="auto"/>
      </w:divBdr>
    </w:div>
    <w:div w:id="849686093">
      <w:bodyDiv w:val="1"/>
      <w:marLeft w:val="0"/>
      <w:marRight w:val="0"/>
      <w:marTop w:val="0"/>
      <w:marBottom w:val="0"/>
      <w:divBdr>
        <w:top w:val="none" w:sz="0" w:space="0" w:color="auto"/>
        <w:left w:val="none" w:sz="0" w:space="0" w:color="auto"/>
        <w:bottom w:val="none" w:sz="0" w:space="0" w:color="auto"/>
        <w:right w:val="none" w:sz="0" w:space="0" w:color="auto"/>
      </w:divBdr>
    </w:div>
    <w:div w:id="898901512">
      <w:bodyDiv w:val="1"/>
      <w:marLeft w:val="0"/>
      <w:marRight w:val="0"/>
      <w:marTop w:val="0"/>
      <w:marBottom w:val="0"/>
      <w:divBdr>
        <w:top w:val="none" w:sz="0" w:space="0" w:color="auto"/>
        <w:left w:val="none" w:sz="0" w:space="0" w:color="auto"/>
        <w:bottom w:val="none" w:sz="0" w:space="0" w:color="auto"/>
        <w:right w:val="none" w:sz="0" w:space="0" w:color="auto"/>
      </w:divBdr>
    </w:div>
    <w:div w:id="913393292">
      <w:bodyDiv w:val="1"/>
      <w:marLeft w:val="0"/>
      <w:marRight w:val="0"/>
      <w:marTop w:val="0"/>
      <w:marBottom w:val="0"/>
      <w:divBdr>
        <w:top w:val="none" w:sz="0" w:space="0" w:color="auto"/>
        <w:left w:val="none" w:sz="0" w:space="0" w:color="auto"/>
        <w:bottom w:val="none" w:sz="0" w:space="0" w:color="auto"/>
        <w:right w:val="none" w:sz="0" w:space="0" w:color="auto"/>
      </w:divBdr>
    </w:div>
    <w:div w:id="1004168359">
      <w:bodyDiv w:val="1"/>
      <w:marLeft w:val="0"/>
      <w:marRight w:val="0"/>
      <w:marTop w:val="0"/>
      <w:marBottom w:val="0"/>
      <w:divBdr>
        <w:top w:val="none" w:sz="0" w:space="0" w:color="auto"/>
        <w:left w:val="none" w:sz="0" w:space="0" w:color="auto"/>
        <w:bottom w:val="none" w:sz="0" w:space="0" w:color="auto"/>
        <w:right w:val="none" w:sz="0" w:space="0" w:color="auto"/>
      </w:divBdr>
    </w:div>
    <w:div w:id="1016267561">
      <w:bodyDiv w:val="1"/>
      <w:marLeft w:val="0"/>
      <w:marRight w:val="0"/>
      <w:marTop w:val="0"/>
      <w:marBottom w:val="0"/>
      <w:divBdr>
        <w:top w:val="none" w:sz="0" w:space="0" w:color="auto"/>
        <w:left w:val="none" w:sz="0" w:space="0" w:color="auto"/>
        <w:bottom w:val="none" w:sz="0" w:space="0" w:color="auto"/>
        <w:right w:val="none" w:sz="0" w:space="0" w:color="auto"/>
      </w:divBdr>
    </w:div>
    <w:div w:id="1058237815">
      <w:bodyDiv w:val="1"/>
      <w:marLeft w:val="0"/>
      <w:marRight w:val="0"/>
      <w:marTop w:val="0"/>
      <w:marBottom w:val="0"/>
      <w:divBdr>
        <w:top w:val="none" w:sz="0" w:space="0" w:color="auto"/>
        <w:left w:val="none" w:sz="0" w:space="0" w:color="auto"/>
        <w:bottom w:val="none" w:sz="0" w:space="0" w:color="auto"/>
        <w:right w:val="none" w:sz="0" w:space="0" w:color="auto"/>
      </w:divBdr>
    </w:div>
    <w:div w:id="1078333625">
      <w:bodyDiv w:val="1"/>
      <w:marLeft w:val="0"/>
      <w:marRight w:val="0"/>
      <w:marTop w:val="0"/>
      <w:marBottom w:val="0"/>
      <w:divBdr>
        <w:top w:val="none" w:sz="0" w:space="0" w:color="auto"/>
        <w:left w:val="none" w:sz="0" w:space="0" w:color="auto"/>
        <w:bottom w:val="none" w:sz="0" w:space="0" w:color="auto"/>
        <w:right w:val="none" w:sz="0" w:space="0" w:color="auto"/>
      </w:divBdr>
      <w:divsChild>
        <w:div w:id="873470089">
          <w:marLeft w:val="0"/>
          <w:marRight w:val="0"/>
          <w:marTop w:val="0"/>
          <w:marBottom w:val="0"/>
          <w:divBdr>
            <w:top w:val="none" w:sz="0" w:space="0" w:color="auto"/>
            <w:left w:val="none" w:sz="0" w:space="0" w:color="auto"/>
            <w:bottom w:val="none" w:sz="0" w:space="0" w:color="auto"/>
            <w:right w:val="none" w:sz="0" w:space="0" w:color="auto"/>
          </w:divBdr>
        </w:div>
        <w:div w:id="2036152078">
          <w:marLeft w:val="0"/>
          <w:marRight w:val="0"/>
          <w:marTop w:val="0"/>
          <w:marBottom w:val="0"/>
          <w:divBdr>
            <w:top w:val="none" w:sz="0" w:space="0" w:color="auto"/>
            <w:left w:val="none" w:sz="0" w:space="0" w:color="auto"/>
            <w:bottom w:val="none" w:sz="0" w:space="0" w:color="auto"/>
            <w:right w:val="none" w:sz="0" w:space="0" w:color="auto"/>
          </w:divBdr>
        </w:div>
      </w:divsChild>
    </w:div>
    <w:div w:id="1098410046">
      <w:bodyDiv w:val="1"/>
      <w:marLeft w:val="0"/>
      <w:marRight w:val="0"/>
      <w:marTop w:val="0"/>
      <w:marBottom w:val="0"/>
      <w:divBdr>
        <w:top w:val="none" w:sz="0" w:space="0" w:color="auto"/>
        <w:left w:val="none" w:sz="0" w:space="0" w:color="auto"/>
        <w:bottom w:val="none" w:sz="0" w:space="0" w:color="auto"/>
        <w:right w:val="none" w:sz="0" w:space="0" w:color="auto"/>
      </w:divBdr>
    </w:div>
    <w:div w:id="1176966824">
      <w:bodyDiv w:val="1"/>
      <w:marLeft w:val="0"/>
      <w:marRight w:val="0"/>
      <w:marTop w:val="0"/>
      <w:marBottom w:val="0"/>
      <w:divBdr>
        <w:top w:val="none" w:sz="0" w:space="0" w:color="auto"/>
        <w:left w:val="none" w:sz="0" w:space="0" w:color="auto"/>
        <w:bottom w:val="none" w:sz="0" w:space="0" w:color="auto"/>
        <w:right w:val="none" w:sz="0" w:space="0" w:color="auto"/>
      </w:divBdr>
    </w:div>
    <w:div w:id="1212379812">
      <w:bodyDiv w:val="1"/>
      <w:marLeft w:val="0"/>
      <w:marRight w:val="0"/>
      <w:marTop w:val="0"/>
      <w:marBottom w:val="0"/>
      <w:divBdr>
        <w:top w:val="none" w:sz="0" w:space="0" w:color="auto"/>
        <w:left w:val="none" w:sz="0" w:space="0" w:color="auto"/>
        <w:bottom w:val="none" w:sz="0" w:space="0" w:color="auto"/>
        <w:right w:val="none" w:sz="0" w:space="0" w:color="auto"/>
      </w:divBdr>
    </w:div>
    <w:div w:id="1256858804">
      <w:bodyDiv w:val="1"/>
      <w:marLeft w:val="0"/>
      <w:marRight w:val="0"/>
      <w:marTop w:val="0"/>
      <w:marBottom w:val="0"/>
      <w:divBdr>
        <w:top w:val="none" w:sz="0" w:space="0" w:color="auto"/>
        <w:left w:val="none" w:sz="0" w:space="0" w:color="auto"/>
        <w:bottom w:val="none" w:sz="0" w:space="0" w:color="auto"/>
        <w:right w:val="none" w:sz="0" w:space="0" w:color="auto"/>
      </w:divBdr>
    </w:div>
    <w:div w:id="1261259035">
      <w:bodyDiv w:val="1"/>
      <w:marLeft w:val="0"/>
      <w:marRight w:val="0"/>
      <w:marTop w:val="0"/>
      <w:marBottom w:val="0"/>
      <w:divBdr>
        <w:top w:val="none" w:sz="0" w:space="0" w:color="auto"/>
        <w:left w:val="none" w:sz="0" w:space="0" w:color="auto"/>
        <w:bottom w:val="none" w:sz="0" w:space="0" w:color="auto"/>
        <w:right w:val="none" w:sz="0" w:space="0" w:color="auto"/>
      </w:divBdr>
    </w:div>
    <w:div w:id="1294020115">
      <w:bodyDiv w:val="1"/>
      <w:marLeft w:val="0"/>
      <w:marRight w:val="0"/>
      <w:marTop w:val="0"/>
      <w:marBottom w:val="0"/>
      <w:divBdr>
        <w:top w:val="none" w:sz="0" w:space="0" w:color="auto"/>
        <w:left w:val="none" w:sz="0" w:space="0" w:color="auto"/>
        <w:bottom w:val="none" w:sz="0" w:space="0" w:color="auto"/>
        <w:right w:val="none" w:sz="0" w:space="0" w:color="auto"/>
      </w:divBdr>
      <w:divsChild>
        <w:div w:id="1994872630">
          <w:marLeft w:val="0"/>
          <w:marRight w:val="0"/>
          <w:marTop w:val="0"/>
          <w:marBottom w:val="0"/>
          <w:divBdr>
            <w:top w:val="none" w:sz="0" w:space="0" w:color="auto"/>
            <w:left w:val="none" w:sz="0" w:space="0" w:color="auto"/>
            <w:bottom w:val="none" w:sz="0" w:space="0" w:color="auto"/>
            <w:right w:val="none" w:sz="0" w:space="0" w:color="auto"/>
          </w:divBdr>
          <w:divsChild>
            <w:div w:id="905140857">
              <w:marLeft w:val="0"/>
              <w:marRight w:val="0"/>
              <w:marTop w:val="0"/>
              <w:marBottom w:val="0"/>
              <w:divBdr>
                <w:top w:val="none" w:sz="0" w:space="0" w:color="auto"/>
                <w:left w:val="none" w:sz="0" w:space="0" w:color="auto"/>
                <w:bottom w:val="none" w:sz="0" w:space="0" w:color="auto"/>
                <w:right w:val="none" w:sz="0" w:space="0" w:color="auto"/>
              </w:divBdr>
              <w:divsChild>
                <w:div w:id="827601488">
                  <w:marLeft w:val="0"/>
                  <w:marRight w:val="0"/>
                  <w:marTop w:val="0"/>
                  <w:marBottom w:val="0"/>
                  <w:divBdr>
                    <w:top w:val="none" w:sz="0" w:space="0" w:color="auto"/>
                    <w:left w:val="none" w:sz="0" w:space="0" w:color="auto"/>
                    <w:bottom w:val="none" w:sz="0" w:space="0" w:color="auto"/>
                    <w:right w:val="none" w:sz="0" w:space="0" w:color="auto"/>
                  </w:divBdr>
                  <w:divsChild>
                    <w:div w:id="318072370">
                      <w:marLeft w:val="0"/>
                      <w:marRight w:val="0"/>
                      <w:marTop w:val="0"/>
                      <w:marBottom w:val="0"/>
                      <w:divBdr>
                        <w:top w:val="none" w:sz="0" w:space="0" w:color="auto"/>
                        <w:left w:val="none" w:sz="0" w:space="0" w:color="auto"/>
                        <w:bottom w:val="none" w:sz="0" w:space="0" w:color="auto"/>
                        <w:right w:val="none" w:sz="0" w:space="0" w:color="auto"/>
                      </w:divBdr>
                      <w:divsChild>
                        <w:div w:id="1500848761">
                          <w:marLeft w:val="0"/>
                          <w:marRight w:val="0"/>
                          <w:marTop w:val="0"/>
                          <w:marBottom w:val="0"/>
                          <w:divBdr>
                            <w:top w:val="none" w:sz="0" w:space="0" w:color="auto"/>
                            <w:left w:val="none" w:sz="0" w:space="0" w:color="auto"/>
                            <w:bottom w:val="none" w:sz="0" w:space="0" w:color="auto"/>
                            <w:right w:val="none" w:sz="0" w:space="0" w:color="auto"/>
                          </w:divBdr>
                          <w:divsChild>
                            <w:div w:id="698161359">
                              <w:marLeft w:val="0"/>
                              <w:marRight w:val="0"/>
                              <w:marTop w:val="0"/>
                              <w:marBottom w:val="0"/>
                              <w:divBdr>
                                <w:top w:val="none" w:sz="0" w:space="0" w:color="auto"/>
                                <w:left w:val="none" w:sz="0" w:space="0" w:color="auto"/>
                                <w:bottom w:val="none" w:sz="0" w:space="0" w:color="auto"/>
                                <w:right w:val="none" w:sz="0" w:space="0" w:color="auto"/>
                              </w:divBdr>
                              <w:divsChild>
                                <w:div w:id="211559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8025252">
      <w:bodyDiv w:val="1"/>
      <w:marLeft w:val="0"/>
      <w:marRight w:val="0"/>
      <w:marTop w:val="0"/>
      <w:marBottom w:val="0"/>
      <w:divBdr>
        <w:top w:val="none" w:sz="0" w:space="0" w:color="auto"/>
        <w:left w:val="none" w:sz="0" w:space="0" w:color="auto"/>
        <w:bottom w:val="none" w:sz="0" w:space="0" w:color="auto"/>
        <w:right w:val="none" w:sz="0" w:space="0" w:color="auto"/>
      </w:divBdr>
      <w:divsChild>
        <w:div w:id="1854680978">
          <w:marLeft w:val="0"/>
          <w:marRight w:val="0"/>
          <w:marTop w:val="0"/>
          <w:marBottom w:val="0"/>
          <w:divBdr>
            <w:top w:val="none" w:sz="0" w:space="0" w:color="auto"/>
            <w:left w:val="none" w:sz="0" w:space="0" w:color="auto"/>
            <w:bottom w:val="none" w:sz="0" w:space="0" w:color="auto"/>
            <w:right w:val="none" w:sz="0" w:space="0" w:color="auto"/>
          </w:divBdr>
        </w:div>
        <w:div w:id="2069765908">
          <w:marLeft w:val="0"/>
          <w:marRight w:val="0"/>
          <w:marTop w:val="0"/>
          <w:marBottom w:val="0"/>
          <w:divBdr>
            <w:top w:val="none" w:sz="0" w:space="0" w:color="auto"/>
            <w:left w:val="none" w:sz="0" w:space="0" w:color="auto"/>
            <w:bottom w:val="none" w:sz="0" w:space="0" w:color="auto"/>
            <w:right w:val="none" w:sz="0" w:space="0" w:color="auto"/>
          </w:divBdr>
        </w:div>
      </w:divsChild>
    </w:div>
    <w:div w:id="1317997089">
      <w:bodyDiv w:val="1"/>
      <w:marLeft w:val="0"/>
      <w:marRight w:val="0"/>
      <w:marTop w:val="0"/>
      <w:marBottom w:val="0"/>
      <w:divBdr>
        <w:top w:val="none" w:sz="0" w:space="0" w:color="auto"/>
        <w:left w:val="none" w:sz="0" w:space="0" w:color="auto"/>
        <w:bottom w:val="none" w:sz="0" w:space="0" w:color="auto"/>
        <w:right w:val="none" w:sz="0" w:space="0" w:color="auto"/>
      </w:divBdr>
    </w:div>
    <w:div w:id="1486318994">
      <w:bodyDiv w:val="1"/>
      <w:marLeft w:val="0"/>
      <w:marRight w:val="0"/>
      <w:marTop w:val="0"/>
      <w:marBottom w:val="0"/>
      <w:divBdr>
        <w:top w:val="none" w:sz="0" w:space="0" w:color="auto"/>
        <w:left w:val="none" w:sz="0" w:space="0" w:color="auto"/>
        <w:bottom w:val="none" w:sz="0" w:space="0" w:color="auto"/>
        <w:right w:val="none" w:sz="0" w:space="0" w:color="auto"/>
      </w:divBdr>
    </w:div>
    <w:div w:id="1488521343">
      <w:bodyDiv w:val="1"/>
      <w:marLeft w:val="0"/>
      <w:marRight w:val="0"/>
      <w:marTop w:val="0"/>
      <w:marBottom w:val="0"/>
      <w:divBdr>
        <w:top w:val="none" w:sz="0" w:space="0" w:color="auto"/>
        <w:left w:val="none" w:sz="0" w:space="0" w:color="auto"/>
        <w:bottom w:val="none" w:sz="0" w:space="0" w:color="auto"/>
        <w:right w:val="none" w:sz="0" w:space="0" w:color="auto"/>
      </w:divBdr>
    </w:div>
    <w:div w:id="1517429348">
      <w:bodyDiv w:val="1"/>
      <w:marLeft w:val="0"/>
      <w:marRight w:val="0"/>
      <w:marTop w:val="0"/>
      <w:marBottom w:val="0"/>
      <w:divBdr>
        <w:top w:val="none" w:sz="0" w:space="0" w:color="auto"/>
        <w:left w:val="none" w:sz="0" w:space="0" w:color="auto"/>
        <w:bottom w:val="none" w:sz="0" w:space="0" w:color="auto"/>
        <w:right w:val="none" w:sz="0" w:space="0" w:color="auto"/>
      </w:divBdr>
      <w:divsChild>
        <w:div w:id="983848198">
          <w:marLeft w:val="0"/>
          <w:marRight w:val="0"/>
          <w:marTop w:val="0"/>
          <w:marBottom w:val="0"/>
          <w:divBdr>
            <w:top w:val="none" w:sz="0" w:space="0" w:color="auto"/>
            <w:left w:val="none" w:sz="0" w:space="0" w:color="auto"/>
            <w:bottom w:val="none" w:sz="0" w:space="0" w:color="auto"/>
            <w:right w:val="none" w:sz="0" w:space="0" w:color="auto"/>
          </w:divBdr>
          <w:divsChild>
            <w:div w:id="1322081782">
              <w:marLeft w:val="0"/>
              <w:marRight w:val="0"/>
              <w:marTop w:val="0"/>
              <w:marBottom w:val="0"/>
              <w:divBdr>
                <w:top w:val="none" w:sz="0" w:space="0" w:color="auto"/>
                <w:left w:val="none" w:sz="0" w:space="0" w:color="auto"/>
                <w:bottom w:val="none" w:sz="0" w:space="0" w:color="auto"/>
                <w:right w:val="none" w:sz="0" w:space="0" w:color="auto"/>
              </w:divBdr>
              <w:divsChild>
                <w:div w:id="414058609">
                  <w:marLeft w:val="0"/>
                  <w:marRight w:val="0"/>
                  <w:marTop w:val="0"/>
                  <w:marBottom w:val="0"/>
                  <w:divBdr>
                    <w:top w:val="none" w:sz="0" w:space="0" w:color="auto"/>
                    <w:left w:val="none" w:sz="0" w:space="0" w:color="auto"/>
                    <w:bottom w:val="none" w:sz="0" w:space="0" w:color="auto"/>
                    <w:right w:val="none" w:sz="0" w:space="0" w:color="auto"/>
                  </w:divBdr>
                  <w:divsChild>
                    <w:div w:id="1560285609">
                      <w:marLeft w:val="0"/>
                      <w:marRight w:val="0"/>
                      <w:marTop w:val="0"/>
                      <w:marBottom w:val="0"/>
                      <w:divBdr>
                        <w:top w:val="none" w:sz="0" w:space="0" w:color="auto"/>
                        <w:left w:val="none" w:sz="0" w:space="0" w:color="auto"/>
                        <w:bottom w:val="none" w:sz="0" w:space="0" w:color="auto"/>
                        <w:right w:val="none" w:sz="0" w:space="0" w:color="auto"/>
                      </w:divBdr>
                      <w:divsChild>
                        <w:div w:id="1645353184">
                          <w:marLeft w:val="0"/>
                          <w:marRight w:val="0"/>
                          <w:marTop w:val="0"/>
                          <w:marBottom w:val="0"/>
                          <w:divBdr>
                            <w:top w:val="none" w:sz="0" w:space="0" w:color="auto"/>
                            <w:left w:val="none" w:sz="0" w:space="0" w:color="auto"/>
                            <w:bottom w:val="none" w:sz="0" w:space="0" w:color="auto"/>
                            <w:right w:val="none" w:sz="0" w:space="0" w:color="auto"/>
                          </w:divBdr>
                          <w:divsChild>
                            <w:div w:id="1124494">
                              <w:marLeft w:val="0"/>
                              <w:marRight w:val="0"/>
                              <w:marTop w:val="0"/>
                              <w:marBottom w:val="0"/>
                              <w:divBdr>
                                <w:top w:val="none" w:sz="0" w:space="0" w:color="auto"/>
                                <w:left w:val="none" w:sz="0" w:space="0" w:color="auto"/>
                                <w:bottom w:val="none" w:sz="0" w:space="0" w:color="auto"/>
                                <w:right w:val="none" w:sz="0" w:space="0" w:color="auto"/>
                              </w:divBdr>
                              <w:divsChild>
                                <w:div w:id="61749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2618754">
      <w:bodyDiv w:val="1"/>
      <w:marLeft w:val="0"/>
      <w:marRight w:val="0"/>
      <w:marTop w:val="0"/>
      <w:marBottom w:val="0"/>
      <w:divBdr>
        <w:top w:val="none" w:sz="0" w:space="0" w:color="auto"/>
        <w:left w:val="none" w:sz="0" w:space="0" w:color="auto"/>
        <w:bottom w:val="none" w:sz="0" w:space="0" w:color="auto"/>
        <w:right w:val="none" w:sz="0" w:space="0" w:color="auto"/>
      </w:divBdr>
    </w:div>
    <w:div w:id="1594123087">
      <w:bodyDiv w:val="1"/>
      <w:marLeft w:val="0"/>
      <w:marRight w:val="0"/>
      <w:marTop w:val="0"/>
      <w:marBottom w:val="0"/>
      <w:divBdr>
        <w:top w:val="none" w:sz="0" w:space="0" w:color="auto"/>
        <w:left w:val="none" w:sz="0" w:space="0" w:color="auto"/>
        <w:bottom w:val="none" w:sz="0" w:space="0" w:color="auto"/>
        <w:right w:val="none" w:sz="0" w:space="0" w:color="auto"/>
      </w:divBdr>
    </w:div>
    <w:div w:id="1923682331">
      <w:bodyDiv w:val="1"/>
      <w:marLeft w:val="0"/>
      <w:marRight w:val="0"/>
      <w:marTop w:val="0"/>
      <w:marBottom w:val="0"/>
      <w:divBdr>
        <w:top w:val="none" w:sz="0" w:space="0" w:color="auto"/>
        <w:left w:val="none" w:sz="0" w:space="0" w:color="auto"/>
        <w:bottom w:val="none" w:sz="0" w:space="0" w:color="auto"/>
        <w:right w:val="none" w:sz="0" w:space="0" w:color="auto"/>
      </w:divBdr>
      <w:divsChild>
        <w:div w:id="203979097">
          <w:marLeft w:val="0"/>
          <w:marRight w:val="0"/>
          <w:marTop w:val="0"/>
          <w:marBottom w:val="0"/>
          <w:divBdr>
            <w:top w:val="none" w:sz="0" w:space="0" w:color="auto"/>
            <w:left w:val="none" w:sz="0" w:space="0" w:color="auto"/>
            <w:bottom w:val="none" w:sz="0" w:space="0" w:color="auto"/>
            <w:right w:val="none" w:sz="0" w:space="0" w:color="auto"/>
          </w:divBdr>
          <w:divsChild>
            <w:div w:id="400442623">
              <w:marLeft w:val="0"/>
              <w:marRight w:val="0"/>
              <w:marTop w:val="0"/>
              <w:marBottom w:val="0"/>
              <w:divBdr>
                <w:top w:val="none" w:sz="0" w:space="0" w:color="auto"/>
                <w:left w:val="none" w:sz="0" w:space="0" w:color="auto"/>
                <w:bottom w:val="none" w:sz="0" w:space="0" w:color="auto"/>
                <w:right w:val="none" w:sz="0" w:space="0" w:color="auto"/>
              </w:divBdr>
              <w:divsChild>
                <w:div w:id="1522160700">
                  <w:marLeft w:val="0"/>
                  <w:marRight w:val="0"/>
                  <w:marTop w:val="0"/>
                  <w:marBottom w:val="0"/>
                  <w:divBdr>
                    <w:top w:val="none" w:sz="0" w:space="0" w:color="auto"/>
                    <w:left w:val="none" w:sz="0" w:space="0" w:color="auto"/>
                    <w:bottom w:val="none" w:sz="0" w:space="0" w:color="auto"/>
                    <w:right w:val="none" w:sz="0" w:space="0" w:color="auto"/>
                  </w:divBdr>
                  <w:divsChild>
                    <w:div w:id="370111565">
                      <w:marLeft w:val="0"/>
                      <w:marRight w:val="0"/>
                      <w:marTop w:val="0"/>
                      <w:marBottom w:val="0"/>
                      <w:divBdr>
                        <w:top w:val="none" w:sz="0" w:space="0" w:color="auto"/>
                        <w:left w:val="none" w:sz="0" w:space="0" w:color="auto"/>
                        <w:bottom w:val="none" w:sz="0" w:space="0" w:color="auto"/>
                        <w:right w:val="none" w:sz="0" w:space="0" w:color="auto"/>
                      </w:divBdr>
                      <w:divsChild>
                        <w:div w:id="1429275962">
                          <w:marLeft w:val="0"/>
                          <w:marRight w:val="0"/>
                          <w:marTop w:val="0"/>
                          <w:marBottom w:val="0"/>
                          <w:divBdr>
                            <w:top w:val="none" w:sz="0" w:space="0" w:color="auto"/>
                            <w:left w:val="none" w:sz="0" w:space="0" w:color="auto"/>
                            <w:bottom w:val="none" w:sz="0" w:space="0" w:color="auto"/>
                            <w:right w:val="none" w:sz="0" w:space="0" w:color="auto"/>
                          </w:divBdr>
                          <w:divsChild>
                            <w:div w:id="1336961427">
                              <w:marLeft w:val="0"/>
                              <w:marRight w:val="0"/>
                              <w:marTop w:val="0"/>
                              <w:marBottom w:val="0"/>
                              <w:divBdr>
                                <w:top w:val="none" w:sz="0" w:space="0" w:color="auto"/>
                                <w:left w:val="none" w:sz="0" w:space="0" w:color="auto"/>
                                <w:bottom w:val="none" w:sz="0" w:space="0" w:color="auto"/>
                                <w:right w:val="none" w:sz="0" w:space="0" w:color="auto"/>
                              </w:divBdr>
                              <w:divsChild>
                                <w:div w:id="24550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9581090">
      <w:bodyDiv w:val="1"/>
      <w:marLeft w:val="0"/>
      <w:marRight w:val="0"/>
      <w:marTop w:val="0"/>
      <w:marBottom w:val="0"/>
      <w:divBdr>
        <w:top w:val="none" w:sz="0" w:space="0" w:color="auto"/>
        <w:left w:val="none" w:sz="0" w:space="0" w:color="auto"/>
        <w:bottom w:val="none" w:sz="0" w:space="0" w:color="auto"/>
        <w:right w:val="none" w:sz="0" w:space="0" w:color="auto"/>
      </w:divBdr>
    </w:div>
    <w:div w:id="1986424294">
      <w:bodyDiv w:val="1"/>
      <w:marLeft w:val="0"/>
      <w:marRight w:val="0"/>
      <w:marTop w:val="0"/>
      <w:marBottom w:val="0"/>
      <w:divBdr>
        <w:top w:val="none" w:sz="0" w:space="0" w:color="auto"/>
        <w:left w:val="none" w:sz="0" w:space="0" w:color="auto"/>
        <w:bottom w:val="none" w:sz="0" w:space="0" w:color="auto"/>
        <w:right w:val="none" w:sz="0" w:space="0" w:color="auto"/>
      </w:divBdr>
    </w:div>
    <w:div w:id="2028553774">
      <w:bodyDiv w:val="1"/>
      <w:marLeft w:val="0"/>
      <w:marRight w:val="0"/>
      <w:marTop w:val="0"/>
      <w:marBottom w:val="0"/>
      <w:divBdr>
        <w:top w:val="none" w:sz="0" w:space="0" w:color="auto"/>
        <w:left w:val="none" w:sz="0" w:space="0" w:color="auto"/>
        <w:bottom w:val="none" w:sz="0" w:space="0" w:color="auto"/>
        <w:right w:val="none" w:sz="0" w:space="0" w:color="auto"/>
      </w:divBdr>
    </w:div>
    <w:div w:id="2069498295">
      <w:bodyDiv w:val="1"/>
      <w:marLeft w:val="0"/>
      <w:marRight w:val="0"/>
      <w:marTop w:val="0"/>
      <w:marBottom w:val="0"/>
      <w:divBdr>
        <w:top w:val="none" w:sz="0" w:space="0" w:color="auto"/>
        <w:left w:val="none" w:sz="0" w:space="0" w:color="auto"/>
        <w:bottom w:val="none" w:sz="0" w:space="0" w:color="auto"/>
        <w:right w:val="none" w:sz="0" w:space="0" w:color="auto"/>
      </w:divBdr>
    </w:div>
    <w:div w:id="2082170026">
      <w:bodyDiv w:val="1"/>
      <w:marLeft w:val="0"/>
      <w:marRight w:val="0"/>
      <w:marTop w:val="0"/>
      <w:marBottom w:val="0"/>
      <w:divBdr>
        <w:top w:val="none" w:sz="0" w:space="0" w:color="auto"/>
        <w:left w:val="none" w:sz="0" w:space="0" w:color="auto"/>
        <w:bottom w:val="none" w:sz="0" w:space="0" w:color="auto"/>
        <w:right w:val="none" w:sz="0" w:space="0" w:color="auto"/>
      </w:divBdr>
      <w:divsChild>
        <w:div w:id="486166180">
          <w:marLeft w:val="0"/>
          <w:marRight w:val="0"/>
          <w:marTop w:val="0"/>
          <w:marBottom w:val="0"/>
          <w:divBdr>
            <w:top w:val="none" w:sz="0" w:space="0" w:color="auto"/>
            <w:left w:val="none" w:sz="0" w:space="0" w:color="auto"/>
            <w:bottom w:val="none" w:sz="0" w:space="0" w:color="auto"/>
            <w:right w:val="none" w:sz="0" w:space="0" w:color="auto"/>
          </w:divBdr>
        </w:div>
        <w:div w:id="1065641979">
          <w:marLeft w:val="0"/>
          <w:marRight w:val="0"/>
          <w:marTop w:val="0"/>
          <w:marBottom w:val="0"/>
          <w:divBdr>
            <w:top w:val="none" w:sz="0" w:space="0" w:color="auto"/>
            <w:left w:val="none" w:sz="0" w:space="0" w:color="auto"/>
            <w:bottom w:val="none" w:sz="0" w:space="0" w:color="auto"/>
            <w:right w:val="none" w:sz="0" w:space="0" w:color="auto"/>
          </w:divBdr>
        </w:div>
      </w:divsChild>
    </w:div>
    <w:div w:id="2097245408">
      <w:bodyDiv w:val="1"/>
      <w:marLeft w:val="0"/>
      <w:marRight w:val="0"/>
      <w:marTop w:val="0"/>
      <w:marBottom w:val="0"/>
      <w:divBdr>
        <w:top w:val="none" w:sz="0" w:space="0" w:color="auto"/>
        <w:left w:val="none" w:sz="0" w:space="0" w:color="auto"/>
        <w:bottom w:val="none" w:sz="0" w:space="0" w:color="auto"/>
        <w:right w:val="none" w:sz="0" w:space="0" w:color="auto"/>
      </w:divBdr>
    </w:div>
    <w:div w:id="2145002401">
      <w:bodyDiv w:val="1"/>
      <w:marLeft w:val="0"/>
      <w:marRight w:val="0"/>
      <w:marTop w:val="0"/>
      <w:marBottom w:val="0"/>
      <w:divBdr>
        <w:top w:val="none" w:sz="0" w:space="0" w:color="auto"/>
        <w:left w:val="none" w:sz="0" w:space="0" w:color="auto"/>
        <w:bottom w:val="none" w:sz="0" w:space="0" w:color="auto"/>
        <w:right w:val="none" w:sz="0" w:space="0" w:color="auto"/>
      </w:divBdr>
      <w:divsChild>
        <w:div w:id="293681753">
          <w:marLeft w:val="0"/>
          <w:marRight w:val="0"/>
          <w:marTop w:val="0"/>
          <w:marBottom w:val="300"/>
          <w:divBdr>
            <w:top w:val="none" w:sz="0" w:space="0" w:color="auto"/>
            <w:left w:val="none" w:sz="0" w:space="0" w:color="auto"/>
            <w:bottom w:val="none" w:sz="0" w:space="0" w:color="auto"/>
            <w:right w:val="none" w:sz="0" w:space="0" w:color="auto"/>
          </w:divBdr>
          <w:divsChild>
            <w:div w:id="294071616">
              <w:marLeft w:val="0"/>
              <w:marRight w:val="0"/>
              <w:marTop w:val="0"/>
              <w:marBottom w:val="300"/>
              <w:divBdr>
                <w:top w:val="none" w:sz="0" w:space="0" w:color="auto"/>
                <w:left w:val="none" w:sz="0" w:space="0" w:color="auto"/>
                <w:bottom w:val="none" w:sz="0" w:space="0" w:color="auto"/>
                <w:right w:val="none" w:sz="0" w:space="0" w:color="auto"/>
              </w:divBdr>
              <w:divsChild>
                <w:div w:id="205458550">
                  <w:marLeft w:val="0"/>
                  <w:marRight w:val="0"/>
                  <w:marTop w:val="0"/>
                  <w:marBottom w:val="0"/>
                  <w:divBdr>
                    <w:top w:val="none" w:sz="0" w:space="0" w:color="auto"/>
                    <w:left w:val="none" w:sz="0" w:space="0" w:color="auto"/>
                    <w:bottom w:val="none" w:sz="0" w:space="0" w:color="auto"/>
                    <w:right w:val="none" w:sz="0" w:space="0" w:color="auto"/>
                  </w:divBdr>
                  <w:divsChild>
                    <w:div w:id="180939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964894">
          <w:marLeft w:val="0"/>
          <w:marRight w:val="0"/>
          <w:marTop w:val="0"/>
          <w:marBottom w:val="300"/>
          <w:divBdr>
            <w:top w:val="none" w:sz="0" w:space="0" w:color="auto"/>
            <w:left w:val="none" w:sz="0" w:space="0" w:color="auto"/>
            <w:bottom w:val="none" w:sz="0" w:space="0" w:color="auto"/>
            <w:right w:val="none" w:sz="0" w:space="0" w:color="auto"/>
          </w:divBdr>
          <w:divsChild>
            <w:div w:id="476184721">
              <w:marLeft w:val="0"/>
              <w:marRight w:val="0"/>
              <w:marTop w:val="0"/>
              <w:marBottom w:val="300"/>
              <w:divBdr>
                <w:top w:val="none" w:sz="0" w:space="0" w:color="auto"/>
                <w:left w:val="none" w:sz="0" w:space="0" w:color="auto"/>
                <w:bottom w:val="none" w:sz="0" w:space="0" w:color="auto"/>
                <w:right w:val="none" w:sz="0" w:space="0" w:color="auto"/>
              </w:divBdr>
              <w:divsChild>
                <w:div w:id="489101608">
                  <w:marLeft w:val="0"/>
                  <w:marRight w:val="0"/>
                  <w:marTop w:val="0"/>
                  <w:marBottom w:val="0"/>
                  <w:divBdr>
                    <w:top w:val="none" w:sz="0" w:space="0" w:color="auto"/>
                    <w:left w:val="none" w:sz="0" w:space="0" w:color="auto"/>
                    <w:bottom w:val="none" w:sz="0" w:space="0" w:color="auto"/>
                    <w:right w:val="none" w:sz="0" w:space="0" w:color="auto"/>
                  </w:divBdr>
                  <w:divsChild>
                    <w:div w:id="36510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318FFBE0-8529-436e-A44A-4F9E07262220" local="false">
  <p:Name>Medical Center Collaboration Document Policy</p:Name>
  <p:Description>Enforces document security and expiration on collaboration documents.</p:Description>
  <p:Statement>This document cannot contain Personal Health Information (PHI) or other restricted data.</p:Statement>
</p:Policy>
</file>

<file path=customXml/item2.xml><?xml version="1.0" encoding="utf-8"?>
<ct:contentTypeSchema xmlns:ct="http://schemas.microsoft.com/office/2006/metadata/contentType" xmlns:ma="http://schemas.microsoft.com/office/2006/metadata/properties/metaAttributes" ct:_="" ma:_="" ma:contentTypeName="Document" ma:contentTypeID="0x010100AE4047DCB746C34D83733B0FF1542E5D" ma:contentTypeVersion="3" ma:contentTypeDescription="Create a new document." ma:contentTypeScope="" ma:versionID="a78fea12ea2d7ff35fb93fc3c99bd736">
  <xsd:schema xmlns:xsd="http://www.w3.org/2001/XMLSchema" xmlns:xs="http://www.w3.org/2001/XMLSchema" xmlns:p="http://schemas.microsoft.com/office/2006/metadata/properties" xmlns:ns2="7b9b7e5c-9724-4691-9e60-f71f115561be" xmlns:ns3="6311c8c3-60e8-42c1-a77f-fc16461ad402" targetNamespace="http://schemas.microsoft.com/office/2006/metadata/properties" ma:root="true" ma:fieldsID="c178f620d89eb85a3ab0d9e12549e306" ns2:_="" ns3:_="">
    <xsd:import namespace="7b9b7e5c-9724-4691-9e60-f71f115561be"/>
    <xsd:import namespace="6311c8c3-60e8-42c1-a77f-fc16461ad402"/>
    <xsd:element name="properties">
      <xsd:complexType>
        <xsd:sequence>
          <xsd:element name="documentManagement">
            <xsd:complexType>
              <xsd:all>
                <xsd:element ref="ns2:Data_x0020_Classification"/>
                <xsd:element ref="ns2:Security_x0020_Disclaimer"/>
                <xsd:element ref="ns2:_dlc_Exempt"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9b7e5c-9724-4691-9e60-f71f115561be" elementFormDefault="qualified">
    <xsd:import namespace="http://schemas.microsoft.com/office/2006/documentManagement/types"/>
    <xsd:import namespace="http://schemas.microsoft.com/office/infopath/2007/PartnerControls"/>
    <xsd:element name="Data_x0020_Classification" ma:index="8" ma:displayName="Data Classification" ma:default="Limited Access" ma:format="Dropdown" ma:internalName="Data_x0020_Classification">
      <xsd:simpleType>
        <xsd:restriction base="dms:Choice">
          <xsd:enumeration value="Public"/>
          <xsd:enumeration value="Limited Access"/>
        </xsd:restriction>
      </xsd:simpleType>
    </xsd:element>
    <xsd:element name="Security_x0020_Disclaimer" ma:index="9" ma:displayName="Security Disclaimer" ma:description="This document does not contain Personal Health Information (PHI) or other restricted data." ma:format="Dropdown" ma:internalName="Security_x0020_Disclaimer">
      <xsd:simpleType>
        <xsd:restriction base="dms:Choice">
          <xsd:enumeration value="Yes"/>
        </xsd:restriction>
      </xsd:simpleType>
    </xsd:element>
    <xsd:element name="_dlc_Exempt" ma:index="10" nillable="true" ma:displayName="Exempt from Policy" ma:description=""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11c8c3-60e8-42c1-a77f-fc16461ad402"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a_x0020_Classification xmlns="7b9b7e5c-9724-4691-9e60-f71f115561be">Limited Access</Data_x0020_Classification>
    <Security_x0020_Disclaimer xmlns="7b9b7e5c-9724-4691-9e60-f71f115561be">Yes</Security_x0020_Disclaimer>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6EF2B3-DB1C-4FBC-9833-5BD087417B4D}">
  <ds:schemaRefs>
    <ds:schemaRef ds:uri="office.server.policy"/>
  </ds:schemaRefs>
</ds:datastoreItem>
</file>

<file path=customXml/itemProps2.xml><?xml version="1.0" encoding="utf-8"?>
<ds:datastoreItem xmlns:ds="http://schemas.openxmlformats.org/officeDocument/2006/customXml" ds:itemID="{3427924B-DA44-4D9E-BFB4-ED4FBA087D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9b7e5c-9724-4691-9e60-f71f115561be"/>
    <ds:schemaRef ds:uri="6311c8c3-60e8-42c1-a77f-fc16461ad4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D5E440-0D2E-4BB0-8D34-3425CC312269}">
  <ds:schemaRefs>
    <ds:schemaRef ds:uri="http://schemas.microsoft.com/office/2006/metadata/properties"/>
    <ds:schemaRef ds:uri="http://schemas.microsoft.com/office/infopath/2007/PartnerControls"/>
    <ds:schemaRef ds:uri="7b9b7e5c-9724-4691-9e60-f71f115561be"/>
  </ds:schemaRefs>
</ds:datastoreItem>
</file>

<file path=customXml/itemProps4.xml><?xml version="1.0" encoding="utf-8"?>
<ds:datastoreItem xmlns:ds="http://schemas.openxmlformats.org/officeDocument/2006/customXml" ds:itemID="{76474211-AD78-4D9C-83E8-71459052194C}">
  <ds:schemaRefs>
    <ds:schemaRef ds:uri="http://schemas.openxmlformats.org/officeDocument/2006/bibliography"/>
  </ds:schemaRefs>
</ds:datastoreItem>
</file>

<file path=customXml/itemProps5.xml><?xml version="1.0" encoding="utf-8"?>
<ds:datastoreItem xmlns:ds="http://schemas.openxmlformats.org/officeDocument/2006/customXml" ds:itemID="{7C1CF9E5-FF44-4D66-B4B1-729352745870}">
  <ds:schemaRefs>
    <ds:schemaRef ds:uri="http://schemas.microsoft.com/sharepoint/events"/>
  </ds:schemaRefs>
</ds:datastoreItem>
</file>

<file path=customXml/itemProps6.xml><?xml version="1.0" encoding="utf-8"?>
<ds:datastoreItem xmlns:ds="http://schemas.openxmlformats.org/officeDocument/2006/customXml" ds:itemID="{565BB4D8-3E1F-4C42-9DE3-709E317B7BEF}">
  <ds:schemaRefs>
    <ds:schemaRef ds:uri="http://schemas.microsoft.com/sharepoint/v3/contenttype/forms"/>
  </ds:schemaRefs>
</ds:datastoreItem>
</file>

<file path=docMetadata/LabelInfo.xml><?xml version="1.0" encoding="utf-8"?>
<clbl:labelList xmlns:clbl="http://schemas.microsoft.com/office/2020/mipLabelMetadata">
  <clbl:label id="{8db864bc-821c-4dd3-a9c9-5002b5129ec6}" enabled="1" method="Standard" siteId="{0b95a125-791c-4f0a-9f9e-99e363117506}" contentBits="0"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14</Pages>
  <Words>9901</Words>
  <Characters>56439</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PHS 398 (Rev. 06/09), Continuation Page</vt:lpstr>
    </vt:vector>
  </TitlesOfParts>
  <Company>DHHS/PHS/NIH</Company>
  <LinksUpToDate>false</LinksUpToDate>
  <CharactersWithSpaces>66208</CharactersWithSpaces>
  <SharedDoc>false</SharedDoc>
  <HLinks>
    <vt:vector size="6" baseType="variant">
      <vt:variant>
        <vt:i4>3735606</vt:i4>
      </vt:variant>
      <vt:variant>
        <vt:i4>3</vt:i4>
      </vt:variant>
      <vt:variant>
        <vt:i4>0</vt:i4>
      </vt:variant>
      <vt:variant>
        <vt:i4>5</vt:i4>
      </vt:variant>
      <vt:variant>
        <vt:lpwstr>http://www.aaalac.org/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PHS 398 (Rev. 06/09), Continuation Page</dc:title>
  <dc:subject>DHHS, Public Health Service Grant Application</dc:subject>
  <dc:creator>Office of Extramural Programs</dc:creator>
  <cp:keywords>PHS Grant Application, PHS 398 (Rev. 06/09), Continuation Page</cp:keywords>
  <dc:description/>
  <cp:lastModifiedBy>Alvarado, Hector</cp:lastModifiedBy>
  <cp:revision>3</cp:revision>
  <cp:lastPrinted>2026-01-12T12:59:00Z</cp:lastPrinted>
  <dcterms:created xsi:type="dcterms:W3CDTF">2026-09-22T19:58:00Z</dcterms:created>
  <dcterms:modified xsi:type="dcterms:W3CDTF">2026-09-23T15:40:00Z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ies>
</file>